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5387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45</w:t>
      </w:r>
    </w:p>
    <w:p>
      <w:pPr>
        <w:pStyle w:val="ConsPlusNonformat"/>
        <w:ind w:left="5387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приказу Минобразования</w:t>
      </w:r>
    </w:p>
    <w:p>
      <w:pPr>
        <w:pStyle w:val="ConsPlusNonformat"/>
        <w:ind w:left="5387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>
      <w:pPr>
        <w:pStyle w:val="ConsPlusNonformat"/>
        <w:ind w:left="5387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от____________№_____</w:t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«УТВЕРЖДЕНО</w:t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приказом Минобразования Новосибирской области</w:t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26.12.2024  № 1916</w:t>
      </w:r>
    </w:p>
    <w:p>
      <w:pPr>
        <w:pStyle w:val="ConsPlusNonformat"/>
        <w:tabs>
          <w:tab w:val="clear" w:pos="708"/>
          <w:tab w:val="left" w:pos="5670" w:leader="none"/>
        </w:tabs>
        <w:ind w:left="5387" w:hanging="0"/>
        <w:jc w:val="center"/>
        <w:rPr/>
      </w:pPr>
      <w:r>
        <w:rPr/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Министр образования </w:t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Новосибирской области</w:t>
      </w:r>
    </w:p>
    <w:p>
      <w:pPr>
        <w:pStyle w:val="ConsPlusNonformat"/>
        <w:ind w:left="538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__________</w:t>
      </w:r>
      <w:r>
        <w:rPr>
          <w:rFonts w:cs="Times New Roman" w:ascii="Times New Roman" w:hAnsi="Times New Roman"/>
          <w:sz w:val="28"/>
          <w:szCs w:val="28"/>
        </w:rPr>
        <w:t>М.Н. Жафярова</w:t>
      </w:r>
    </w:p>
    <w:p>
      <w:pPr>
        <w:pStyle w:val="ConsPlusNonformat"/>
        <w:ind w:left="5387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«___» ________2024 г.</w:t>
      </w:r>
    </w:p>
    <w:p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ЗАДАН</w:t>
      </w:r>
      <w:r>
        <w:rPr>
          <w:rFonts w:cs="Times New Roman" w:ascii="Times New Roman" w:hAnsi="Times New Roman"/>
          <w:b/>
          <w:bCs/>
          <w:sz w:val="28"/>
          <w:szCs w:val="28"/>
        </w:rPr>
        <w:t>ИЕ № 45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2025 год и на плановый период 2026 и 2027 годов</w:t>
      </w:r>
    </w:p>
    <w:p>
      <w:pPr>
        <w:pStyle w:val="ConsPlusNonformat"/>
        <w:jc w:val="center"/>
        <w:rPr/>
      </w:pPr>
      <w:r>
        <w:rPr/>
      </w:r>
    </w:p>
    <w:tbl>
      <w:tblPr>
        <w:tblStyle w:val="924"/>
        <w:tblW w:w="98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38"/>
        <w:gridCol w:w="1431"/>
        <w:gridCol w:w="1064"/>
      </w:tblGrid>
      <w:tr>
        <w:trPr>
          <w:trHeight w:val="363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Коды</w:t>
            </w:r>
          </w:p>
        </w:tc>
      </w:tr>
      <w:tr>
        <w:trPr>
          <w:trHeight w:val="581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Наименование государственного учреждения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Новосибирской области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Форма по</w:t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ОКУД</w:t>
            </w:r>
          </w:p>
        </w:tc>
        <w:tc>
          <w:tcPr>
            <w:tcW w:w="1064" w:type="dxa"/>
            <w:vMerge w:val="restart"/>
            <w:tcBorders/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0506001</w:t>
            </w:r>
          </w:p>
        </w:tc>
      </w:tr>
      <w:tr>
        <w:trPr>
          <w:trHeight w:val="363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lang w:val="ru-RU" w:eastAsia="ru-RU" w:bidi="ar-SA"/>
              </w:rPr>
              <w:t>Государственное бюджетное профессиональное образовательное учреждение Новосибирской области</w:t>
            </w:r>
          </w:p>
        </w:tc>
        <w:tc>
          <w:tcPr>
            <w:tcW w:w="1431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64" w:type="dxa"/>
            <w:vMerge w:val="continue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55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14"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sz w:val="14"/>
                <w:lang w:val="ru-RU" w:eastAsia="ru-RU" w:bidi="ar-SA"/>
              </w:rPr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Arial" w:cs="Times New Roman" w:ascii="Times New Roman" w:hAnsi="Times New Roman"/>
                <w:b/>
                <w:kern w:val="0"/>
                <w:lang w:val="ru-RU" w:eastAsia="ru-RU" w:bidi="ar-SA"/>
              </w:rPr>
              <w:t>«Венгеровский центр профессионального обучения»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Дата начала действия</w:t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55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14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Виды деятельности государственного учреждения Новосибирской 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Дата окончания действия</w:t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71" w:hRule="atLeast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по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сводному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реестру</w:t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363" w:hRule="atLeast"/>
        </w:trPr>
        <w:tc>
          <w:tcPr>
            <w:tcW w:w="733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ar-SA"/>
              </w:rPr>
              <w:t>Образование и наука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По ОКВЭД</w:t>
            </w:r>
          </w:p>
        </w:tc>
        <w:tc>
          <w:tcPr>
            <w:tcW w:w="1064" w:type="dxa"/>
            <w:tcBorders/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85.21</w:t>
            </w:r>
          </w:p>
        </w:tc>
      </w:tr>
      <w:tr>
        <w:trPr>
          <w:trHeight w:val="363" w:hRule="atLeast"/>
        </w:trPr>
        <w:tc>
          <w:tcPr>
            <w:tcW w:w="7338" w:type="dxa"/>
            <w:tcBorders>
              <w:left w:val="nil"/>
              <w:right w:val="nil"/>
            </w:tcBorders>
            <w:vAlign w:val="bottom"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Вид государственного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По ОКВЭД</w:t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323" w:hRule="atLeast"/>
        </w:trPr>
        <w:tc>
          <w:tcPr>
            <w:tcW w:w="7338" w:type="dxa"/>
            <w:tcBorders>
              <w:left w:val="nil"/>
              <w:right w:val="nil"/>
            </w:tcBorders>
            <w:vAlign w:val="bottom"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Профессиональная образовательная организация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По ОКВЭД</w:t>
            </w:r>
          </w:p>
        </w:tc>
        <w:tc>
          <w:tcPr>
            <w:tcW w:w="1064" w:type="dxa"/>
            <w:tcBorders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86" w:hRule="atLeast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(указывается вид деятельности государственного учреждения из базового (отраслевого) перечня или регионального перечня)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Часть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>. Сведения об оказываемых государственных услугах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 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924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14"/>
        <w:gridCol w:w="1558"/>
        <w:gridCol w:w="1017"/>
      </w:tblGrid>
      <w:tr>
        <w:trPr>
          <w:trHeight w:val="239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1. Наименование государственной услуги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по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базовому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(отраслевому)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перечню или региональному перечню</w:t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558" w:type="dxa"/>
            <w:vMerge w:val="continue"/>
            <w:tcBorders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62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Реализация образовательных программ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restart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37.Д57.0</w:t>
            </w:r>
          </w:p>
        </w:tc>
      </w:tr>
      <w:tr>
        <w:trPr>
          <w:trHeight w:val="530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continue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30" w:hRule="atLeast"/>
        </w:trPr>
        <w:tc>
          <w:tcPr>
            <w:tcW w:w="7314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2. Категории потребителей государственной услуги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ru-RU" w:eastAsia="ru-RU" w:bidi="ar-SA"/>
              </w:rPr>
              <w:t>Физические лица, имеющие основное общее образование</w:t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continue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</w:tbl>
    <w:p>
      <w:pPr>
        <w:sectPr>
          <w:type w:val="nextPage"/>
          <w:pgSz w:w="11906" w:h="16838"/>
          <w:pgMar w:left="1418" w:right="567" w:gutter="0" w:header="0" w:top="709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ConsPlusNonformat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Показатели, характеризующие объем и (или) качество государственной услуги: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Показатели, характеризующие качество государственной услуги: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6018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93"/>
        <w:gridCol w:w="991"/>
        <w:gridCol w:w="1418"/>
        <w:gridCol w:w="1134"/>
        <w:gridCol w:w="993"/>
        <w:gridCol w:w="991"/>
        <w:gridCol w:w="2836"/>
        <w:gridCol w:w="850"/>
        <w:gridCol w:w="708"/>
        <w:gridCol w:w="993"/>
        <w:gridCol w:w="992"/>
        <w:gridCol w:w="1134"/>
        <w:gridCol w:w="567"/>
        <w:gridCol w:w="569"/>
        <w:gridCol w:w="849"/>
      </w:tblGrid>
      <w:tr>
        <w:trPr>
          <w:trHeight w:val="99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Уникаль-ный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>
        <w:trPr>
          <w:trHeight w:val="462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35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2027 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процентах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абсолютных показателях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23" w:hanging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наимено-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код по ОКЕИ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1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15</w:t>
            </w:r>
          </w:p>
        </w:tc>
      </w:tr>
      <w:tr>
        <w:trPr>
          <w:trHeight w:val="105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852101О.99.0.ББ29ОИ48000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35.01.09 Мастер растениеводства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1.Сохранность контингента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382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</w:tr>
      <w:tr>
        <w:trPr>
          <w:trHeight w:val="64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</w:tr>
      <w:tr>
        <w:trPr>
          <w:trHeight w:val="644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852100О.99.0.БО83МЛ96000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Основное общее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35.01.26 Мастер растениеводства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Не указано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Очная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1.Сохранность контингента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64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64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>
        <w:trPr>
          <w:trHeight w:val="354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852101О.99.0.ББ29ОП24000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35.01.13 Тракторист-машинист сельскохозяйственного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1.Сохранность контингента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</w:tr>
      <w:tr>
        <w:trPr>
          <w:trHeight w:val="35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35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>
        <w:trPr>
          <w:trHeight w:val="35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5. Уровень выполнения контрольных цифр приема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852100О.99.0.БО83МО12000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35.01.27 Мастер сельскохозяйственного производства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1.Сохранность контингента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3. Доля выпускников, прошедших государственную итоговую аттестацию, в общей численности выпускников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4. Доля выпускников,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>
        <w:trPr>
          <w:trHeight w:val="50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5. Уровень выполнения контрольных цифр приема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  <w:lang w:val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1134" w:right="567" w:gutter="0" w:header="454" w:top="709" w:footer="0" w:bottom="851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Показатели, характеризующие объем государственной услуги: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6302" w:type="dxa"/>
        <w:jc w:val="left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92"/>
        <w:gridCol w:w="993"/>
        <w:gridCol w:w="1700"/>
        <w:gridCol w:w="1277"/>
        <w:gridCol w:w="991"/>
        <w:gridCol w:w="993"/>
        <w:gridCol w:w="1276"/>
        <w:gridCol w:w="851"/>
        <w:gridCol w:w="708"/>
        <w:gridCol w:w="992"/>
        <w:gridCol w:w="850"/>
        <w:gridCol w:w="851"/>
        <w:gridCol w:w="993"/>
        <w:gridCol w:w="851"/>
        <w:gridCol w:w="849"/>
        <w:gridCol w:w="567"/>
        <w:gridCol w:w="568"/>
      </w:tblGrid>
      <w:tr>
        <w:trPr>
          <w:trHeight w:val="561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Уникаль-ный номер реест-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ровой записи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>
              <w:rPr>
                <w:rFonts w:cs="Times New Roman" w:ascii="Times New Roman" w:hAnsi="Times New Roman"/>
                <w:color w:val="000000" w:themeColor="text1"/>
                <w:sz w:val="18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>
              <w:rPr>
                <w:rFonts w:cs="Times New Roman" w:ascii="Times New Roman" w:hAnsi="Times New Roman"/>
                <w:color w:val="000000" w:themeColor="text1"/>
                <w:sz w:val="18"/>
              </w:rPr>
              <w:t>(по справочникам)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Показатель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показателя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>
        <w:trPr>
          <w:trHeight w:val="57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397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2025 год (очеред-ной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2026 год (1-й год планово-го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2027 год (2-й год планово-го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2025 год (очеред-ной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2026 год (1-й год планово-го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2027 год (2-й год планово-го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в процентах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в абсолютных показателях</w:t>
            </w:r>
          </w:p>
        </w:tc>
      </w:tr>
      <w:tr>
        <w:trPr>
          <w:trHeight w:val="49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Содержание1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Содержание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Содержание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23" w:hanging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 xml:space="preserve">код по </w:t>
            </w:r>
            <w:hyperlink r:id="rId3" w:tgtFrame="consultantplus://offline/ref=DC41E2772540CE89436B920E86BEF4F9345B73C5B114AE3A8765A72052AFVDF">
              <w:r>
                <w:rPr>
                  <w:rFonts w:cs="Times New Roman" w:ascii="Times New Roman" w:hAnsi="Times New Roman"/>
                  <w:color w:val="000000" w:themeColor="text1"/>
                  <w:sz w:val="18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12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17</w:t>
            </w:r>
          </w:p>
        </w:tc>
      </w:tr>
      <w:tr>
        <w:trPr>
          <w:trHeight w:val="32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852101О.99.0.ББ29ОИ48000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Не указано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35.01.09 Мастер растениеводства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852100О.99.0.БО83МЛ96000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Основное общее 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35.01.26 Мастер растениеводства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Не указано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  <w:highlight w:val="white"/>
              </w:rPr>
              <w:t>Очная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cs="Times New Roman" w:ascii="Times New Roman" w:hAnsi="Times New Roman"/>
                <w:color w:val="000000" w:themeColor="text1"/>
                <w:highlight w:val="whit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852101О.99.0.ББ29ОП24000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Не указано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Основное общее 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852100О.99.0.БО83МО12000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35.01.27 Мастер сельскохозяйственного производства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18"/>
              </w:rPr>
              <w:t>Не указано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8"/>
                <w:szCs w:val="20"/>
              </w:rPr>
              <w:t>-</w:t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567" w:gutter="0" w:header="0" w:top="709" w:footer="0" w:bottom="851"/>
          <w:pgNumType w:fmt="decimal"/>
          <w:formProt w:val="false"/>
          <w:textDirection w:val="lrTb"/>
          <w:docGrid w:type="default" w:linePitch="360" w:charSpace="4096"/>
        </w:sectPr>
        <w:pStyle w:val="ConsPlusNonformat"/>
        <w:jc w:val="center"/>
        <w:rPr>
          <w:rFonts w:ascii="Times New Roman" w:hAnsi="Times New Roman" w:cs="Times New Roman"/>
          <w:color w:val="FF0000"/>
          <w:sz w:val="4"/>
        </w:rPr>
      </w:pPr>
      <w:r>
        <w:rPr>
          <w:rFonts w:cs="Times New Roman" w:ascii="Times New Roman" w:hAnsi="Times New Roman"/>
          <w:color w:val="FF0000"/>
          <w:sz w:val="4"/>
        </w:rPr>
      </w:r>
    </w:p>
    <w:p>
      <w:pPr>
        <w:pStyle w:val="ConsPlusNonformat"/>
        <w:jc w:val="center"/>
        <w:rPr>
          <w:rFonts w:ascii="Times New Roman" w:hAnsi="Times New Roman" w:cs="Times New Roman"/>
          <w:color w:val="FF0000"/>
          <w:szCs w:val="22"/>
        </w:rPr>
      </w:pPr>
      <w:r>
        <w:rPr>
          <w:rFonts w:cs="Times New Roman" w:ascii="Times New Roman" w:hAnsi="Times New Roman"/>
          <w:color w:val="FF0000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 Нормативные правовые акты, устанавливающие размер платы (цену, тариф) либо порядок ее (его) установления: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1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679"/>
        <w:gridCol w:w="1681"/>
        <w:gridCol w:w="1680"/>
        <w:gridCol w:w="1683"/>
        <w:gridCol w:w="2892"/>
      </w:tblGrid>
      <w:tr>
        <w:trPr/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Нормативный правовой акт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вид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номер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Порядок оказания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 Нормативные правовые акты, регулирующие порядок оказания государственной услуги:</w:t>
      </w:r>
    </w:p>
    <w:tbl>
      <w:tblPr>
        <w:tblW w:w="960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8"/>
      </w:tblGrid>
      <w:tr>
        <w:trPr>
          <w:trHeight w:val="570" w:hRule="atLeast"/>
        </w:trPr>
        <w:tc>
          <w:tcPr>
            <w:tcW w:w="96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Федеральный закон от 29.12.2012 № 273-ФЗ «Об образовании в Российской Федерации»;</w:t>
            </w:r>
          </w:p>
        </w:tc>
      </w:tr>
      <w:tr>
        <w:trPr>
          <w:trHeight w:val="1005" w:hRule="atLeast"/>
        </w:trPr>
        <w:tc>
          <w:tcPr>
            <w:tcW w:w="96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1"/>
                <w:szCs w:val="21"/>
              </w:rPr>
              <w:t>Федеральный закон от 21.12.2021 № 414-ФЗ «Об общих принципах организации публичной власти в субъектах Российской Федерации»;</w:t>
            </w:r>
          </w:p>
        </w:tc>
      </w:tr>
      <w:tr>
        <w:trPr>
          <w:trHeight w:val="735" w:hRule="atLeast"/>
        </w:trPr>
        <w:tc>
          <w:tcPr>
            <w:tcW w:w="96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Закон Новосибирской области от 05.07.2013 № 361-ОЗ «О регулировании отношений в сфере образования в Новосибирской области»;</w:t>
            </w:r>
          </w:p>
        </w:tc>
      </w:tr>
      <w:tr>
        <w:trPr>
          <w:trHeight w:val="735" w:hRule="atLeast"/>
        </w:trPr>
        <w:tc>
          <w:tcPr>
            <w:tcW w:w="96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Приказ Минобрнауки РФ от 29.10.2013 № 1199 «Об утверждении перечней профессий и специальностей среднего профессионального образования»;</w:t>
            </w:r>
          </w:p>
        </w:tc>
      </w:tr>
      <w:tr>
        <w:trPr>
          <w:trHeight w:val="735" w:hRule="atLeast"/>
        </w:trPr>
        <w:tc>
          <w:tcPr>
            <w:tcW w:w="9608" w:type="dxa"/>
            <w:tcBorders/>
            <w:shd w:color="FFFFFF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Приказ Министерства просвещения Российской Федерации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 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29.10.2013 №1199 «Об утверждении перечней профессий и специальностей среднего профессионального образования».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 Порядок  информирования  потенциальных  потребителей 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57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193"/>
        <w:gridCol w:w="3193"/>
        <w:gridCol w:w="3193"/>
      </w:tblGrid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Состав размещаемой информации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Частота обновления информации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Размещение информации в соответствии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Постановлением Правительства РФ от 20.10.2021 № 1802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Постоянно в течение года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Постоянно в течение года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 мере необходимости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 мере необходимости</w:t>
            </w:r>
          </w:p>
        </w:tc>
      </w:tr>
      <w:tr>
        <w:trPr/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Профориентационная работа в школах</w:t>
            </w:r>
          </w:p>
        </w:tc>
        <w:tc>
          <w:tcPr>
            <w:tcW w:w="3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Постоянно в течение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 2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924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14"/>
        <w:gridCol w:w="1558"/>
        <w:gridCol w:w="1017"/>
      </w:tblGrid>
      <w:tr>
        <w:trPr>
          <w:trHeight w:val="239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1. Наименование государственной услуги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 по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базовому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(отраслевому)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перечню или региональному перечню</w:t>
            </w:r>
          </w:p>
          <w:p>
            <w:pPr>
              <w:pStyle w:val="ConsPlusNonformat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558" w:type="dxa"/>
            <w:vMerge w:val="continue"/>
            <w:tcBorders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62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по профессиям рабочих, должностям служащих</w:t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restart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30.1</w:t>
            </w:r>
          </w:p>
        </w:tc>
      </w:tr>
      <w:tr>
        <w:trPr>
          <w:trHeight w:val="530" w:hRule="atLeast"/>
        </w:trPr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continue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  <w:tr>
        <w:trPr>
          <w:trHeight w:val="530" w:hRule="atLeast"/>
        </w:trPr>
        <w:tc>
          <w:tcPr>
            <w:tcW w:w="7314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  <w:t>2. Категории потребителей государственной услуги</w:t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ru-RU" w:bidi="ar-SA"/>
              </w:rPr>
              <w:t>Физические лица, ранее не имевшие профессии рабочего или должности служащего</w:t>
            </w:r>
          </w:p>
        </w:tc>
        <w:tc>
          <w:tcPr>
            <w:tcW w:w="1558" w:type="dxa"/>
            <w:vMerge w:val="continue"/>
            <w:tcBorders>
              <w:left w:val="nil"/>
            </w:tcBorders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  <w:tc>
          <w:tcPr>
            <w:tcW w:w="1017" w:type="dxa"/>
            <w:vMerge w:val="continue"/>
            <w:tcBorders/>
          </w:tcPr>
          <w:p>
            <w:pPr>
              <w:pStyle w:val="ConsPlusNonformat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lang w:val="ru-RU" w:eastAsia="ru-RU" w:bidi="ar-SA"/>
              </w:rPr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1418" w:right="567" w:gutter="0" w:header="720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ConsPlusNonformat"/>
        <w:ind w:left="-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Показатели, характеризующие объем и (или) качество государственной услуги: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Показатели, характеризующие качество государственной услуги: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880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92"/>
        <w:gridCol w:w="1134"/>
        <w:gridCol w:w="1135"/>
        <w:gridCol w:w="1134"/>
        <w:gridCol w:w="850"/>
        <w:gridCol w:w="851"/>
        <w:gridCol w:w="2693"/>
        <w:gridCol w:w="850"/>
        <w:gridCol w:w="851"/>
        <w:gridCol w:w="991"/>
        <w:gridCol w:w="992"/>
        <w:gridCol w:w="1134"/>
        <w:gridCol w:w="569"/>
        <w:gridCol w:w="568"/>
        <w:gridCol w:w="1136"/>
      </w:tblGrid>
      <w:tr>
        <w:trPr>
          <w:trHeight w:val="99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Уникаль-ный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Значение показателя качества государственной услуги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Допустимые  (возможные)  отклонения  от  установленных показателей качества государственной услуги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>
        <w:trPr>
          <w:trHeight w:val="46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340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2027 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(2-й год планового периода)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процентах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абсолютных показателях</w:t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23" w:hanging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наимено-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код по ОКЕИ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1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20"/>
              </w:rPr>
              <w:t>15</w:t>
            </w:r>
          </w:p>
        </w:tc>
      </w:tr>
      <w:tr>
        <w:trPr>
          <w:trHeight w:val="382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30.1.853111.1.00112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Тракторист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4"/>
              </w:rPr>
              <w:t>1. Сохранность контингента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3</w:t>
            </w:r>
          </w:p>
        </w:tc>
      </w:tr>
      <w:tr>
        <w:trPr>
          <w:trHeight w:val="38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4"/>
              </w:rPr>
              <w:t>2. Доля обучающихся, прошедших итоговую  аттестацию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4</w:t>
            </w:r>
          </w:p>
        </w:tc>
      </w:tr>
      <w:tr>
        <w:trPr>
          <w:trHeight w:val="38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4"/>
              </w:rPr>
              <w:t>3. Уровень выполнения плана приема обучающихся  по программам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Показатели, характеризующие объем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6302" w:type="dxa"/>
        <w:jc w:val="left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92"/>
        <w:gridCol w:w="1419"/>
        <w:gridCol w:w="849"/>
        <w:gridCol w:w="1135"/>
        <w:gridCol w:w="992"/>
        <w:gridCol w:w="993"/>
        <w:gridCol w:w="1700"/>
        <w:gridCol w:w="850"/>
        <w:gridCol w:w="851"/>
        <w:gridCol w:w="992"/>
        <w:gridCol w:w="850"/>
        <w:gridCol w:w="851"/>
        <w:gridCol w:w="993"/>
        <w:gridCol w:w="851"/>
        <w:gridCol w:w="849"/>
        <w:gridCol w:w="567"/>
        <w:gridCol w:w="568"/>
      </w:tblGrid>
      <w:tr>
        <w:trPr>
          <w:trHeight w:val="561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Уникаль-ный номер реест-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>
              <w:rPr>
                <w:rFonts w:cs="Times New Roman" w:ascii="Times New Roman" w:hAnsi="Times New Roman"/>
                <w:sz w:val="18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>
              <w:rPr>
                <w:rFonts w:cs="Times New Roman" w:ascii="Times New Roman" w:hAnsi="Times New Roman"/>
                <w:sz w:val="18"/>
              </w:rPr>
              <w:t>(по справочникам)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Показатель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показателя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Допустимые  (возможные)  отклонения  от  установленных показателей объема государственной услуги</w:t>
            </w:r>
          </w:p>
        </w:tc>
      </w:tr>
      <w:tr>
        <w:trPr>
          <w:trHeight w:val="572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340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2025 год (очеред-ной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2026 год (1-й год планово-го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2027 год (2-й год планово-го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2025 год (очеред-ной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2026 год (1-й год планово-го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2027 год (2-й год планово-го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процентах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в абсолютных показателях</w:t>
            </w:r>
          </w:p>
        </w:tc>
      </w:tr>
      <w:tr>
        <w:trPr>
          <w:trHeight w:val="795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Содержание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23" w:hanging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Условия (формы) оказания 2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 xml:space="preserve">код по </w:t>
            </w:r>
            <w:hyperlink r:id="rId6" w:tgtFrame="consultantplus://offline/ref=DC41E2772540CE89436B920E86BEF4F9345B73C5B114AE3A8765A72052AFVDF">
              <w:r>
                <w:rPr>
                  <w:rFonts w:cs="Times New Roman" w:ascii="Times New Roman" w:hAnsi="Times New Roman"/>
                  <w:sz w:val="18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12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30.1.853111.1.00112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Тракторист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-</w:t>
            </w:r>
          </w:p>
        </w:tc>
      </w:tr>
    </w:tbl>
    <w:p>
      <w:pPr>
        <w:sectPr>
          <w:headerReference w:type="default" r:id="rId7"/>
          <w:type w:val="nextPage"/>
          <w:pgSz w:orient="landscape" w:w="16838" w:h="11906"/>
          <w:pgMar w:left="1134" w:right="1134" w:gutter="0" w:header="720" w:top="851" w:footer="0" w:bottom="567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tbl>
      <w:tblPr>
        <w:tblW w:w="961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679"/>
        <w:gridCol w:w="1681"/>
        <w:gridCol w:w="1680"/>
        <w:gridCol w:w="1683"/>
        <w:gridCol w:w="2892"/>
      </w:tblGrid>
      <w:tr>
        <w:trPr/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Нормативный правовой акт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вид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номер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5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Порядок оказания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8"/>
      </w:tblGrid>
      <w:tr>
        <w:trPr>
          <w:trHeight w:val="570" w:hRule="atLeast"/>
        </w:trPr>
        <w:tc>
          <w:tcPr>
            <w:tcW w:w="96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закон от 29.12.2012 № 273-ФЗ «Об образовании в Российской Федерации»;</w:t>
            </w:r>
          </w:p>
        </w:tc>
      </w:tr>
      <w:tr>
        <w:trPr>
          <w:trHeight w:val="635" w:hRule="atLeast"/>
        </w:trPr>
        <w:tc>
          <w:tcPr>
            <w:tcW w:w="96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Федеральный закон от 21.12.2021 № 414-ФЗ «Об общих принципах организации публичной власти в субъектах Российской Федерации»;</w:t>
            </w:r>
          </w:p>
        </w:tc>
      </w:tr>
      <w:tr>
        <w:trPr>
          <w:trHeight w:val="735" w:hRule="atLeast"/>
        </w:trPr>
        <w:tc>
          <w:tcPr>
            <w:tcW w:w="96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Закон Новосибирской области от 05.07.2013 №361-ОЗ « О регулировании отношений в сфере образования в Новосибирской области»;</w:t>
            </w:r>
          </w:p>
        </w:tc>
      </w:tr>
      <w:tr>
        <w:trPr>
          <w:trHeight w:val="735" w:hRule="atLeast"/>
        </w:trPr>
        <w:tc>
          <w:tcPr>
            <w:tcW w:w="96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Приказ Минобрнауки РФ от 02.07.2013 № 513 «Об утверждении Перечня профессий рабочих, должностей служащих, по которым осуществляется профессиональное обучение»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 Порядок  информирования  потенциальных  потребителей  государственной услуги: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0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58"/>
        <w:gridCol w:w="4254"/>
        <w:gridCol w:w="1796"/>
      </w:tblGrid>
      <w:tr>
        <w:trPr>
          <w:trHeight w:val="825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Способ информирования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Состав размещаемой информации</w:t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Частота обновления информации</w:t>
            </w:r>
          </w:p>
        </w:tc>
      </w:tr>
      <w:tr>
        <w:trPr>
          <w:trHeight w:val="390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3</w:t>
            </w:r>
          </w:p>
        </w:tc>
      </w:tr>
      <w:tr>
        <w:trPr>
          <w:trHeight w:val="2044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Размещение информации в соответствии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Постановлением Правительства РФ от 20.10.2021 № 1802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Постоянно в течение года</w:t>
            </w:r>
          </w:p>
        </w:tc>
      </w:tr>
      <w:tr>
        <w:trPr>
          <w:trHeight w:val="1065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Условия приема и сроки обучения, программы профессионального обучения, контактная информация</w:t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По мере необходимости</w:t>
            </w:r>
          </w:p>
        </w:tc>
      </w:tr>
      <w:tr>
        <w:trPr>
          <w:trHeight w:val="885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Размещение информации в справочниках, буклетах</w:t>
            </w:r>
          </w:p>
        </w:tc>
        <w:tc>
          <w:tcPr>
            <w:tcW w:w="42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По мере необходимости</w:t>
            </w:r>
          </w:p>
        </w:tc>
      </w:tr>
      <w:tr>
        <w:trPr>
          <w:trHeight w:val="1290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42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Постоянно в течение года</w:t>
            </w:r>
          </w:p>
        </w:tc>
      </w:tr>
      <w:tr>
        <w:trPr>
          <w:trHeight w:val="720" w:hRule="atLeast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Профориентационная работа в школах</w:t>
            </w:r>
          </w:p>
        </w:tc>
        <w:tc>
          <w:tcPr>
            <w:tcW w:w="42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</w:r>
          </w:p>
        </w:tc>
        <w:tc>
          <w:tcPr>
            <w:tcW w:w="1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</w:rPr>
              <w:t>Постоянно в течение года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Часть </w:t>
      </w:r>
      <w:r>
        <w:rPr>
          <w:rFonts w:cs="Times New Roman" w:ascii="Times New Roman" w:hAnsi="Times New Roman"/>
          <w:sz w:val="20"/>
          <w:szCs w:val="20"/>
          <w:lang w:val="en-US"/>
        </w:rPr>
        <w:t>III</w:t>
      </w:r>
      <w:r>
        <w:rPr>
          <w:rFonts w:cs="Times New Roman" w:ascii="Times New Roman" w:hAnsi="Times New Roman"/>
          <w:sz w:val="20"/>
          <w:szCs w:val="20"/>
        </w:rPr>
        <w:t>. Прочие сведения о государственном задании</w:t>
      </w:r>
    </w:p>
    <w:p>
      <w:pPr>
        <w:pStyle w:val="ConsPlusNonformat"/>
        <w:jc w:val="center"/>
        <w:rPr/>
      </w:pPr>
      <w:r>
        <w:rPr/>
      </w:r>
    </w:p>
    <w:p>
      <w:pPr>
        <w:pStyle w:val="ConsPlusNonformat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Основания (условия и порядок) для досрочного прекращения выполнения государственного задания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Выполнение государственного задания завершается по окончании финансового года.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Досрочное прекращение государственного задания возможно при следующих условиях: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ликвидации, реорганизации профессионального образовательного учреждения;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исключение государственной услуги из Базового (отраслевого) или регионального перечня государственных услуг (работ);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иные основания, предусмотренные законодательством.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ConsPlusNonforma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 Иная информация, необходимая для выполнения (контроля за выполнением)</w:t>
      </w:r>
    </w:p>
    <w:p>
      <w:pPr>
        <w:pStyle w:val="ConsPlusNonforma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государственного задания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Иная информация не требуется.</w:t>
      </w:r>
    </w:p>
    <w:p>
      <w:pPr>
        <w:pStyle w:val="ConsPlusNonforma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3. Порядок контроля за выполнением государственного задания</w:t>
      </w:r>
    </w:p>
    <w:tbl>
      <w:tblPr>
        <w:tblW w:w="963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212"/>
        <w:gridCol w:w="3212"/>
        <w:gridCol w:w="321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Форма контроля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Периодичность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исполнительной власти Новосибирской области, осуществляющие контроль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 выполнением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государственного задания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Профессиональное образовательное учреждение предоставляет отчет об исполнении государственного задания по форме, утвержденной постановлением Правительства Новосибирской области от 23.11.2015 № 406-п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Министерство образования Новосибирской области</w:t>
            </w:r>
          </w:p>
        </w:tc>
      </w:tr>
    </w:tbl>
    <w:p>
      <w:pPr>
        <w:pStyle w:val="ConsPlusNonformat"/>
        <w:spacing w:lineRule="auto" w:line="480"/>
        <w:rPr>
          <w:lang w:val="en-US"/>
        </w:rPr>
      </w:pPr>
      <w:r>
        <w:rPr>
          <w:lang w:val="en-US"/>
        </w:rPr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>4.Требования к отчетности о выполнении государственного задания: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4.1. Периодичность  представления  отчетов  о  выполнении государственного задания: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</w:r>
    </w:p>
    <w:p>
      <w:pPr>
        <w:pStyle w:val="ConsPlusNonformat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 w:themeColor="text1"/>
          <w:sz w:val="22"/>
          <w:szCs w:val="22"/>
        </w:rPr>
        <w:t>Ежеквартально.</w:t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4.2. Сроки представления отчетов о выполнении государственного задания: </w:t>
      </w:r>
    </w:p>
    <w:p>
      <w:pPr>
        <w:pStyle w:val="ConsPlusNonformat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>
        <w:rPr>
          <w:rFonts w:eastAsia="Calibri" w:cs="Times New Roman" w:ascii="Times New Roman" w:hAnsi="Times New Roman"/>
          <w:color w:val="000000" w:themeColor="text1"/>
          <w:sz w:val="22"/>
          <w:szCs w:val="22"/>
        </w:rPr>
        <w:t>- ежеквартально до 10 числа месяца, следующего за отчётным, по итогам года - до 20 января года, следующего за отчетным;</w:t>
      </w:r>
    </w:p>
    <w:p>
      <w:pPr>
        <w:pStyle w:val="ConsPlusNonformat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 представление предварительного отчета о выполнении государственного задания - не позднее 1 ноября отчетного года</w:t>
      </w:r>
      <w:r>
        <w:rPr>
          <w:rFonts w:eastAsia="Calibri" w:cs="Times New Roman" w:ascii="Times New Roman" w:hAnsi="Times New Roman"/>
          <w:color w:val="000000" w:themeColor="text1"/>
          <w:sz w:val="22"/>
          <w:szCs w:val="22"/>
        </w:rPr>
        <w:t>.</w:t>
      </w:r>
    </w:p>
    <w:p>
      <w:pPr>
        <w:pStyle w:val="ConsPlusNonformat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>
        <w:rPr>
          <w:rFonts w:eastAsia="Calibri" w:cs="Times New Roman" w:ascii="Times New Roman" w:hAnsi="Times New Roman"/>
          <w:color w:val="000000" w:themeColor="text1"/>
          <w:sz w:val="22"/>
          <w:szCs w:val="22"/>
        </w:rPr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4.3. Иные требования к отчетности о выполнении государственного задания: </w:t>
      </w:r>
    </w:p>
    <w:p>
      <w:pPr>
        <w:pStyle w:val="ConsPlusNonformat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>
        <w:rPr>
          <w:rFonts w:eastAsia="Calibri" w:cs="Times New Roman" w:ascii="Times New Roman" w:hAnsi="Times New Roman"/>
          <w:color w:val="000000" w:themeColor="text1"/>
          <w:sz w:val="22"/>
          <w:szCs w:val="22"/>
        </w:rPr>
        <w:t>Отчет предоставляется в электронном виде и на бумажном носителе, заверенный подписью руководителя государственного образовательного учреждения и печатью учреждения.</w:t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</w:r>
    </w:p>
    <w:p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5. Иные показатели, связанные с выполнением государственного задания: </w:t>
      </w:r>
    </w:p>
    <w:p>
      <w:pPr>
        <w:pStyle w:val="ConsPlusNonformat"/>
        <w:rPr>
          <w:color w:val="000000" w:themeColor="text1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 w:themeColor="text1"/>
          <w:sz w:val="22"/>
          <w:szCs w:val="22"/>
        </w:rPr>
        <w:t>Иные показатели не требуются.</w:t>
      </w:r>
    </w:p>
    <w:p>
      <w:pPr>
        <w:pStyle w:val="ConsPlusNonformat"/>
        <w:rPr>
          <w:sz w:val="28"/>
          <w:lang w:val="en-US"/>
        </w:rPr>
      </w:pPr>
      <w:r>
        <w:rPr/>
      </w:r>
    </w:p>
    <w:sectPr>
      <w:headerReference w:type="default" r:id="rId8"/>
      <w:type w:val="nextPage"/>
      <w:pgSz w:w="11906" w:h="16838"/>
      <w:pgMar w:left="1418" w:right="567" w:gutter="0" w:header="72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  <w:sz w:val="20"/>
      </w:rPr>
    </w:pPr>
    <w:r>
      <w:rPr>
        <w:rFonts w:cs="Times New Roman" w:ascii="Times New Roman" w:hAnsi="Times New Roman"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2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 w:customStyle="1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5">
    <w:name w:val="Index Heading"/>
    <w:basedOn w:val="Style16"/>
    <w:pPr/>
    <w:rPr/>
  </w:style>
  <w:style w:type="paragraph" w:styleId="Style26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 w:customStyle="1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 w:customStyle="1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40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73">
    <w:name w:val="Table Grid Light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74">
    <w:name w:val="Plain Table 1"/>
    <w:basedOn w:val="7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75">
    <w:name w:val="Plain Table 2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76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77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9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7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8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9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0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1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2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3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4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5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6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7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8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99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0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01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02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3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04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5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06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07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08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09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10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11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12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13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14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15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816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817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818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819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820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821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2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3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4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5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6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7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8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9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0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1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2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3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4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35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36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37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38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39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40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41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42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3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4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5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6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7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8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5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6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7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8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9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60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61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62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63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64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65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66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67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68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69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70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1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2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3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4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5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6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77">
    <w:name w:val="Lined - Accent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8">
    <w:name w:val="Lined - Accent 1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79">
    <w:name w:val="Lined - Accent 2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80">
    <w:name w:val="Lined - Accent 3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81">
    <w:name w:val="Lined - Accent 4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82">
    <w:name w:val="Lined - Accent 5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83">
    <w:name w:val="Lined - Accent 6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84">
    <w:name w:val="Bordered &amp; Lined - Accent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85">
    <w:name w:val="Bordered &amp; Lined - Accent 1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86">
    <w:name w:val="Bordered &amp; Lined - Accent 2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87">
    <w:name w:val="Bordered &amp; Lined - Accent 3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88">
    <w:name w:val="Bordered &amp; Lined - Accent 4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89">
    <w:name w:val="Bordered &amp; Lined - Accent 5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90">
    <w:name w:val="Bordered &amp; Lined - Accent 6"/>
    <w:basedOn w:val="7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91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92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93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94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95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96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97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924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consultantplus://offline/ref=DC41E2772540CE89436B920E86BEF4F9345B73C5B114AE3A8765A72052AFVDF" TargetMode="Externa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DA133-EDC9-4B19-A9A0-395C6C99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LibreOffice/7.3.3.2$Linux_X86_64 LibreOffice_project/30$Build-2</Application>
  <AppVersion>15.0000</AppVersion>
  <Pages>12</Pages>
  <Words>1997</Words>
  <Characters>14025</Characters>
  <CharactersWithSpaces>15435</CharactersWithSpaces>
  <Paragraphs>628</Paragraphs>
  <Company>Департамент труда и занятости населения НСО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2019-12-25T05:33:00Z</dcterms:created>
  <dc:creator>Пользователь Windows</dc:creator>
  <dc:description/>
  <dc:language>ru-RU</dc:language>
  <cp:lastModifiedBy/>
  <dcterms:modified xsi:type="dcterms:W3CDTF">2025-04-16T17:55:12Z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