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627"/>
        <w:gridCol w:w="3668"/>
        <w:gridCol w:w="373"/>
        <w:gridCol w:w="762"/>
        <w:gridCol w:w="761"/>
        <w:gridCol w:w="761"/>
        <w:gridCol w:w="1188"/>
        <w:gridCol w:w="857"/>
        <w:gridCol w:w="649"/>
        <w:gridCol w:w="372"/>
        <w:gridCol w:w="902"/>
        <w:gridCol w:w="1108"/>
        <w:gridCol w:w="915"/>
        <w:gridCol w:w="843"/>
        <w:gridCol w:w="756"/>
        <w:gridCol w:w="58"/>
      </w:tblGrid>
      <w:tr w:rsidR="005932A1" w:rsidRPr="005932A1" w:rsidTr="005932A1">
        <w:trPr>
          <w:gridAfter w:val="1"/>
          <w:hidden/>
        </w:trPr>
        <w:tc>
          <w:tcPr>
            <w:tcW w:w="840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7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15"/>
          <w:hidden/>
        </w:trPr>
        <w:tc>
          <w:tcPr>
            <w:tcW w:w="0" w:type="auto"/>
            <w:gridSpan w:val="15"/>
            <w:tcBorders>
              <w:top w:val="nil"/>
              <w:left w:val="nil"/>
            </w:tcBorders>
            <w:shd w:val="clear" w:color="auto" w:fill="D5EEFF"/>
            <w:vAlign w:val="center"/>
            <w:hideMark/>
          </w:tcPr>
          <w:tbl>
            <w:tblPr>
              <w:tblW w:w="15309" w:type="dxa"/>
              <w:tblCellMar>
                <w:left w:w="30" w:type="dxa"/>
                <w:right w:w="0" w:type="dxa"/>
              </w:tblCellMar>
              <w:tblLook w:val="04A0"/>
            </w:tblPr>
            <w:tblGrid>
              <w:gridCol w:w="433"/>
              <w:gridCol w:w="3655"/>
              <w:gridCol w:w="367"/>
              <w:gridCol w:w="752"/>
              <w:gridCol w:w="752"/>
              <w:gridCol w:w="925"/>
              <w:gridCol w:w="1180"/>
              <w:gridCol w:w="873"/>
              <w:gridCol w:w="652"/>
              <w:gridCol w:w="367"/>
              <w:gridCol w:w="895"/>
              <w:gridCol w:w="1101"/>
              <w:gridCol w:w="914"/>
              <w:gridCol w:w="833"/>
              <w:gridCol w:w="755"/>
              <w:gridCol w:w="58"/>
            </w:tblGrid>
            <w:tr w:rsidR="00E13729" w:rsidRPr="00E13729" w:rsidTr="00C57132">
              <w:trPr>
                <w:gridAfter w:val="1"/>
                <w:wAfter w:w="855" w:type="dxa"/>
                <w:hidden/>
              </w:trPr>
              <w:tc>
                <w:tcPr>
                  <w:tcW w:w="433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7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2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2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52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67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9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1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14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33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15"/>
              </w:trPr>
              <w:tc>
                <w:tcPr>
                  <w:tcW w:w="0" w:type="auto"/>
                  <w:gridSpan w:val="15"/>
                  <w:tcBorders>
                    <w:top w:val="nil"/>
                    <w:left w:val="nil"/>
                  </w:tcBorders>
                  <w:shd w:val="clear" w:color="auto" w:fill="D5EEFF"/>
                  <w:vAlign w:val="center"/>
                  <w:hideMark/>
                </w:tcPr>
                <w:p w:rsidR="00C57132" w:rsidRDefault="00C57132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57132" w:rsidRDefault="00C57132" w:rsidP="00C57132">
                  <w:pPr>
                    <w:pStyle w:val="1"/>
                    <w:shd w:val="clear" w:color="auto" w:fill="FFFFFF"/>
                    <w:spacing w:before="161" w:after="161"/>
                    <w:ind w:left="375"/>
                    <w:rPr>
                      <w:rFonts w:ascii="Arial" w:hAnsi="Arial" w:cs="Arial"/>
                      <w:color w:val="22272F"/>
                      <w:sz w:val="33"/>
                      <w:szCs w:val="33"/>
                    </w:rPr>
                  </w:pPr>
                  <w:r>
                    <w:rPr>
                      <w:rFonts w:ascii="Arial" w:hAnsi="Arial" w:cs="Arial"/>
                      <w:color w:val="22272F"/>
                      <w:sz w:val="33"/>
                      <w:szCs w:val="33"/>
                    </w:rPr>
                    <w:t>Приложение. Федеральный государственный образовательный стандарт среднего профессионального образования по профессии 35.01.26 Мастер растениеводства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ind w:firstLine="680"/>
                    <w:jc w:val="right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bookmarkStart w:id="0" w:name="text"/>
                  <w:bookmarkEnd w:id="0"/>
                  <w:r>
                    <w:rPr>
                      <w:rStyle w:val="s10"/>
                      <w:rFonts w:ascii="Arial" w:hAnsi="Arial" w:cs="Arial"/>
                      <w:b/>
                      <w:bCs/>
                      <w:color w:val="22272F"/>
                    </w:rPr>
                    <w:t>Приложение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ind w:firstLine="680"/>
                    <w:jc w:val="right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Style w:val="s10"/>
                      <w:rFonts w:ascii="Arial" w:hAnsi="Arial" w:cs="Arial"/>
                      <w:b/>
                      <w:bCs/>
                      <w:color w:val="22272F"/>
                    </w:rPr>
                    <w:t>УТВЕРЖДЕН</w:t>
                  </w:r>
                  <w:r>
                    <w:rPr>
                      <w:rFonts w:ascii="Arial" w:hAnsi="Arial" w:cs="Arial"/>
                      <w:b/>
                      <w:bCs/>
                      <w:color w:val="22272F"/>
                    </w:rPr>
                    <w:br/>
                  </w:r>
                  <w:hyperlink r:id="rId5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приказом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22272F"/>
                    </w:rPr>
                    <w:t> </w:t>
                  </w:r>
                  <w:r>
                    <w:rPr>
                      <w:rStyle w:val="s10"/>
                      <w:rFonts w:ascii="Arial" w:hAnsi="Arial" w:cs="Arial"/>
                      <w:b/>
                      <w:bCs/>
                      <w:color w:val="22272F"/>
                    </w:rPr>
                    <w:t>Министерства просвещения</w:t>
                  </w:r>
                  <w:r>
                    <w:rPr>
                      <w:rFonts w:ascii="Arial" w:hAnsi="Arial" w:cs="Arial"/>
                      <w:b/>
                      <w:bCs/>
                      <w:color w:val="22272F"/>
                    </w:rPr>
                    <w:br/>
                  </w:r>
                  <w:r>
                    <w:rPr>
                      <w:rStyle w:val="s10"/>
                      <w:rFonts w:ascii="Arial" w:hAnsi="Arial" w:cs="Arial"/>
                      <w:b/>
                      <w:bCs/>
                      <w:color w:val="22272F"/>
                    </w:rPr>
                    <w:t>Российской Федерации</w:t>
                  </w:r>
                  <w:r>
                    <w:rPr>
                      <w:rFonts w:ascii="Arial" w:hAnsi="Arial" w:cs="Arial"/>
                      <w:b/>
                      <w:bCs/>
                      <w:color w:val="22272F"/>
                    </w:rPr>
                    <w:br/>
                  </w:r>
                  <w:r>
                    <w:rPr>
                      <w:rStyle w:val="s10"/>
                      <w:rFonts w:ascii="Arial" w:hAnsi="Arial" w:cs="Arial"/>
                      <w:b/>
                      <w:bCs/>
                      <w:color w:val="22272F"/>
                    </w:rPr>
                    <w:t>от 25 мая 2022 г. N 361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  <w:t>Федеральный государственный образовательный стандарт</w:t>
                  </w:r>
                  <w:r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  <w:br/>
                    <w:t>среднего профессионального образования по профессии 35.01.26 Мастер растениеводства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3"/>
                    <w:shd w:val="clear" w:color="auto" w:fill="FFFFFF"/>
                    <w:spacing w:before="0" w:beforeAutospacing="0" w:after="300" w:afterAutospacing="0"/>
                    <w:jc w:val="center"/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  <w:t>I. Общие положения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6" w:anchor="block_350126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35.01.26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Мастер растениеводства (далее соответственно - ФГОС СПО, образовательная программа, профессия) в соответствии с квалификацией квалифицированного рабочего, служащего "мастер растениеводства".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требований</w:t>
                  </w:r>
                  <w:hyperlink r:id="rId7" w:anchor="block_108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федерального</w:t>
                    </w:r>
                    <w:proofErr w:type="spellEnd"/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 xml:space="preserve"> государственного образовательного стандарта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среднего общего образования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  <w:sz w:val="18"/>
                      <w:szCs w:val="18"/>
                      <w:vertAlign w:val="superscript"/>
                    </w:rPr>
                    <w:t> </w:t>
                  </w:r>
                  <w:hyperlink r:id="rId8" w:anchor="block_111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  <w:vertAlign w:val="superscript"/>
                      </w:rPr>
                      <w:t>1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и ФГОС СПО с учетом получаемой профессии.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1.4.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Обучение по образовательной программе в образовательной организации осуществляется в очной и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очно-заочной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формах обучения.</w:t>
                  </w:r>
                  <w:proofErr w:type="gramEnd"/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1.5. При реализации образовательной программы образовательная организация вправе применять электронное 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обучение и дистанционные образовательные технологии.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1.7.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  <w:sz w:val="18"/>
                      <w:szCs w:val="18"/>
                      <w:vertAlign w:val="superscript"/>
                    </w:rPr>
                    <w:t> </w:t>
                  </w:r>
                  <w:hyperlink r:id="rId9" w:anchor="block_222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  <w:vertAlign w:val="superscript"/>
                      </w:rPr>
                      <w:t>2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.</w:t>
                  </w:r>
                  <w:proofErr w:type="gramEnd"/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  <w:sz w:val="18"/>
                      <w:szCs w:val="18"/>
                      <w:vertAlign w:val="superscript"/>
                    </w:rPr>
                    <w:t> </w:t>
                  </w:r>
                  <w:hyperlink r:id="rId10" w:anchor="block_333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  <w:vertAlign w:val="superscript"/>
                      </w:rPr>
                      <w:t>3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на базе среднего общего образования - 10 месяцев;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на базе основного общего образования - 1 год 10 месяцев.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Срок получения образования по образовательной программе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очно-заочной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1.10. При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обучении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 xml:space="preserve">При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обучении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1.11. Конкретный срок получения образования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очно-заочной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11" w:anchor="block_1019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пунктом 1.9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ФГОС СПО.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12" w:anchor="block_11013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13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Сельское хозяйство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  <w:sz w:val="18"/>
                      <w:szCs w:val="18"/>
                      <w:vertAlign w:val="superscript"/>
                    </w:rPr>
                    <w:t> </w:t>
                  </w:r>
                  <w:hyperlink r:id="rId13" w:anchor="block_444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  <w:vertAlign w:val="superscript"/>
                      </w:rPr>
                      <w:t>4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3"/>
                    <w:shd w:val="clear" w:color="auto" w:fill="FFFFFF"/>
                    <w:spacing w:before="0" w:beforeAutospacing="0" w:after="300" w:afterAutospacing="0"/>
                    <w:jc w:val="center"/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  <w:t>II. Требования к структуре образовательной программы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2.1. Структура и объем образовательной программы (</w:t>
                  </w:r>
                  <w:hyperlink r:id="rId14" w:anchor="block_1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таблица N 1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) включает: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дисциплины (модули);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практику;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государственную итоговую аттестацию.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ind w:firstLine="680"/>
                    <w:jc w:val="right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Style w:val="s10"/>
                      <w:rFonts w:ascii="Arial" w:hAnsi="Arial" w:cs="Arial"/>
                      <w:b/>
                      <w:bCs/>
                      <w:color w:val="22272F"/>
                    </w:rPr>
                    <w:t>Таблица N 1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3"/>
                    <w:shd w:val="clear" w:color="auto" w:fill="FFFFFF"/>
                    <w:spacing w:before="0" w:beforeAutospacing="0" w:after="300" w:afterAutospacing="0"/>
                    <w:jc w:val="center"/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  <w:lastRenderedPageBreak/>
                    <w:t>Структура и объем образовательной программы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1003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81"/>
                    <w:gridCol w:w="4754"/>
                  </w:tblGrid>
                  <w:tr w:rsidR="00C57132" w:rsidTr="00C57132">
                    <w:tc>
                      <w:tcPr>
                        <w:tcW w:w="52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Структура образовательной программы</w:t>
                        </w:r>
                      </w:p>
                    </w:tc>
                    <w:tc>
                      <w:tcPr>
                        <w:tcW w:w="471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Объем образовательной программы, в академических часах</w:t>
                        </w:r>
                      </w:p>
                    </w:tc>
                  </w:tr>
                  <w:tr w:rsidR="00C57132" w:rsidTr="00C57132">
                    <w:tc>
                      <w:tcPr>
                        <w:tcW w:w="52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Дисциплины (модули)</w:t>
                        </w:r>
                      </w:p>
                    </w:tc>
                    <w:tc>
                      <w:tcPr>
                        <w:tcW w:w="471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Не менее 612</w:t>
                        </w:r>
                      </w:p>
                    </w:tc>
                  </w:tr>
                  <w:tr w:rsidR="00C57132" w:rsidTr="00C57132">
                    <w:tc>
                      <w:tcPr>
                        <w:tcW w:w="52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Практика</w:t>
                        </w:r>
                      </w:p>
                    </w:tc>
                    <w:tc>
                      <w:tcPr>
                        <w:tcW w:w="471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Не менее 540</w:t>
                        </w:r>
                      </w:p>
                    </w:tc>
                  </w:tr>
                  <w:tr w:rsidR="00C57132" w:rsidTr="00C57132">
                    <w:tc>
                      <w:tcPr>
                        <w:tcW w:w="52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Государственная итоговая аттестация</w:t>
                        </w:r>
                      </w:p>
                    </w:tc>
                    <w:tc>
                      <w:tcPr>
                        <w:tcW w:w="471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36</w:t>
                        </w:r>
                      </w:p>
                    </w:tc>
                  </w:tr>
                  <w:tr w:rsidR="00C57132" w:rsidTr="00C57132">
                    <w:tc>
                      <w:tcPr>
                        <w:tcW w:w="10005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Общий объем образовательной программы:</w:t>
                        </w:r>
                      </w:p>
                    </w:tc>
                  </w:tr>
                  <w:tr w:rsidR="00C57132" w:rsidTr="00C57132">
                    <w:tc>
                      <w:tcPr>
                        <w:tcW w:w="52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на базе среднего общего образования</w:t>
                        </w:r>
                      </w:p>
                    </w:tc>
                    <w:tc>
                      <w:tcPr>
                        <w:tcW w:w="471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1476</w:t>
                        </w:r>
                      </w:p>
                    </w:tc>
                  </w:tr>
                  <w:tr w:rsidR="00C57132" w:rsidTr="00C57132">
                    <w:tc>
                      <w:tcPr>
                        <w:tcW w:w="526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            </w:r>
                      </w:p>
                    </w:tc>
                    <w:tc>
                      <w:tcPr>
                        <w:tcW w:w="471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2952</w:t>
                        </w:r>
                      </w:p>
                    </w:tc>
                  </w:tr>
                </w:tbl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2.2. Образовательная программа включает: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социально-гуманитарный цикл;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общепрофессиональный цикл;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профессиональный цикл.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Обязательная часть образовательной программы направлена на формирование общих и профессиональных компетенций, предусмотренных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15" w:anchor="block_130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главой III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ФГОС СПО. Объем обязательной части без учета объема государственной 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итоговой аттестации должен составлять не более 80 процентов от общего объема времени, отведенного на освоение образовательной программы.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2.4. Образовательная программа разрабатывается образовательной организацией в соответствии с ФГОС СПО и с учетом ПООП и предполагает освоение видов деятельности, самостоятельно выбранных образовательной организацией из следующих видов деятельности: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выполнение работ по производству, первичной обработке и хранению продукции полевых культур;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выполнение работ по производству в открытом и защищенном грунте, первичной обработке и хранению продукции овощных культур;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выполнение работ по производству посадочного материала плодовых и ягодных культур;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выполнение работ по производству, первичной обработке и хранению продукции плодовых и ягодных культур.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2.5. Образовательная организация при необходимости самостоятельно формирует виды деятельности в дополнение к видам деятельности, указанным в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16" w:anchor="block_1024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пункте 2.4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ФГОС СПО, в рамках вариативной части.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очно-заочной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форме обучения.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В учебные циклы включается промежуточная аттестация обучающихся, которая осуществляется в рамках освоения 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2.8. Обязательная часть общепрофессионального цикла образовательной программы должна предусматривать изучение следующих дисциплин: "Биологические основы агрономии", "Экологические основы природопользования", "Экономические и производственные основы производственной деятельности".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17" w:anchor="block_1024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пунктом 2.4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рассредоточенно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, чередуясь с учебными занятиями. Типы практики 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устанавливаются образовательной организацией самостоятельно с учетом ПООП.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обучения по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2.12. Государственная итоговая аттестация проводится в форме демонстрационного экзамена.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2.13. Государственная итоговая аттестация завершается присвоением квалификации квалифицированного рабочего, служащего, указанной в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18" w:anchor="block_1011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пункте 1.1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ФГОС СПО.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3"/>
                    <w:shd w:val="clear" w:color="auto" w:fill="FFFFFF"/>
                    <w:spacing w:before="0" w:beforeAutospacing="0" w:after="300" w:afterAutospacing="0"/>
                    <w:jc w:val="center"/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  <w:t>III. Требования к результатам освоения образовательной программы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3.1. В результате освоения образовательной программы у выпускника должны быть сформированы общие и профессиональные компетенции.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3.2. Выпускник, освоивший образовательную программу, должен обладать следующими общими компетенциями (далее - ОК):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ОК 01. Выбирать способы решения задач профессиональной деятельности применительно к различным контекстам;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ОК 04. Эффективно взаимодействовать и работать в коллективе и команде;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ОК 05. Осуществлять устную и письменную коммуникацию на государственном языке Российской Федерации с 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учетом особенностей социального и культурного контекста;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антикоррупционного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поведения;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OK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ОК 09. Пользоваться профессиональной документацией на государственном и иностранном языках.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</w:t>
                  </w:r>
                  <w:hyperlink r:id="rId19" w:anchor="block_2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таблица N 2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), предусмотренным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20" w:anchor="block_1024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пунктом 2.4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ФГОС СПО),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сформированными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в том числе на основе профессиональных стандартов (при наличии), указанных в ПООП: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ind w:firstLine="680"/>
                    <w:jc w:val="right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Style w:val="s10"/>
                      <w:rFonts w:ascii="Arial" w:hAnsi="Arial" w:cs="Arial"/>
                      <w:b/>
                      <w:bCs/>
                      <w:color w:val="22272F"/>
                    </w:rPr>
                    <w:t>Таблица N 2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1005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93"/>
                    <w:gridCol w:w="7157"/>
                  </w:tblGrid>
                  <w:tr w:rsidR="00C57132" w:rsidTr="00C57132">
                    <w:tc>
                      <w:tcPr>
                        <w:tcW w:w="2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Виды деятельности</w:t>
                        </w:r>
                      </w:p>
                    </w:tc>
                    <w:tc>
                      <w:tcPr>
                        <w:tcW w:w="712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Профессиональные компетенции, соответствующие видам деятельности</w:t>
                        </w:r>
                      </w:p>
                    </w:tc>
                  </w:tr>
                  <w:tr w:rsidR="00C57132" w:rsidTr="00C57132">
                    <w:tc>
                      <w:tcPr>
                        <w:tcW w:w="288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1</w:t>
                        </w:r>
                      </w:p>
                    </w:tc>
                    <w:tc>
                      <w:tcPr>
                        <w:tcW w:w="71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"/>
                          <w:spacing w:before="75" w:beforeAutospacing="0" w:after="75" w:afterAutospacing="0"/>
                          <w:ind w:left="75" w:right="75"/>
                          <w:jc w:val="center"/>
                          <w:rPr>
                            <w:color w:val="464C55"/>
                          </w:rPr>
                        </w:pPr>
                        <w:r>
                          <w:rPr>
                            <w:color w:val="464C55"/>
                          </w:rPr>
                          <w:t>2</w:t>
                        </w:r>
                      </w:p>
                    </w:tc>
                  </w:tr>
                  <w:tr w:rsidR="00C57132" w:rsidTr="00C57132">
                    <w:tc>
                      <w:tcPr>
                        <w:tcW w:w="288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выполнение работ по производству, первичной обработке и хранению продукции полевых культур (по выбору)</w:t>
                        </w:r>
                      </w:p>
                    </w:tc>
                    <w:tc>
                      <w:tcPr>
                        <w:tcW w:w="71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1.1. Выполнять немеханизированные операции по обработке почвы, посеву (посадке), уходу за полевыми культурами в соответствии с технологиями их возделывания.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1.2. Выполнять немеханизированные операции по применению удобрений и средств защиты растений в технологическом цикле возделывания полевых культур.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1.3. Выполнять немеханизированные операции по уборке, доработке и хранению продукции полевых культур.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lastRenderedPageBreak/>
                          <w:t>ПК 1.4. Координировать деятельность полеводческих бригад при выполнении работ по производству, первичной обработке и хранению продукции полевых культур.</w:t>
                        </w:r>
                      </w:p>
                    </w:tc>
                  </w:tr>
                  <w:tr w:rsidR="00C57132" w:rsidTr="00C57132">
                    <w:tc>
                      <w:tcPr>
                        <w:tcW w:w="288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lastRenderedPageBreak/>
                          <w:t>выполнение работ по производству в открытом и защищенном грунте, первичной обработке и хранению продукции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овощных культур (по выбору)</w:t>
                        </w:r>
                      </w:p>
                    </w:tc>
                    <w:tc>
                      <w:tcPr>
                        <w:tcW w:w="71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1.1. Готовить культивационные сооружения, оборудование, материалы, почвы для выращивания овощных культур (рассады овощных культур).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1.2. Выполнять немеханизированные операции по посеву (посадке) овощных культур (рассады овощных культур) в соответствии с технологиями их возделывания;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1.3. Выполнять немеханизированные операции по уходу за овощными культурами (рассадой овощных культур) в соответствии с технологиями их возделывания;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1.4. Выполнять немеханизированные операции по применению удобрений и средств защиты растений в технологическом цикле возделывания овощных культур.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1.5. Выполнять немеханизированные операции по уборке, доработке и хранению продукции овощных культур.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1.6. Координировать деятельность овощеводческих бригад при выполнении работ по производству, первичной обработке и хранению продукции овощных культур.</w:t>
                        </w:r>
                      </w:p>
                    </w:tc>
                  </w:tr>
                  <w:tr w:rsidR="00C57132" w:rsidTr="00C57132">
                    <w:tc>
                      <w:tcPr>
                        <w:tcW w:w="288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proofErr w:type="gramStart"/>
                        <w:r>
                          <w:t>в</w:t>
                        </w:r>
                        <w:proofErr w:type="gramEnd"/>
                        <w:r>
                          <w:t>ыполнение работ по производству посадочного материала плодовых и ягодных культур (по выбору)</w:t>
                        </w:r>
                      </w:p>
                    </w:tc>
                    <w:tc>
                      <w:tcPr>
                        <w:tcW w:w="71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1.1. Выполнять немеханизированные операции по подготовке почвы, посеву (посадке) плодовых и ягодных культур в питомнике в соответствии с технологиями производства посадочного материала плодовых и ягодных культур.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1.2. Выполнять немеханизированные операции по уходу за плодовыми и ягодными культурами в маточных насаждениях, школе сеянцев, очередных полях питомника в соответствии с технологиями производства посадочного материала плодовых и ягодных культур.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 xml:space="preserve">ПК 1.3. Выполнять немеханизированные операции по применению </w:t>
                        </w:r>
                        <w:r>
                          <w:lastRenderedPageBreak/>
                          <w:t>удобрений и средств защиты растений в технологическом цикле производства посадочного материала плодовых и ягодных культур.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1.4. Выполнять работы по заготовке, хранению, подготовке к реализации семян и посадочного материала в питомнике.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 xml:space="preserve">ПК 1.5. Координировать деятельности </w:t>
                        </w:r>
                        <w:proofErr w:type="spellStart"/>
                        <w:r>
                          <w:t>питомниководческих</w:t>
                        </w:r>
                        <w:proofErr w:type="spellEnd"/>
                        <w:r>
                          <w:t xml:space="preserve"> бригад при выполнении работ по производству посадочного материала плодовых и ягодных культур.</w:t>
                        </w:r>
                      </w:p>
                    </w:tc>
                  </w:tr>
                  <w:tr w:rsidR="00C57132" w:rsidTr="00C57132">
                    <w:tc>
                      <w:tcPr>
                        <w:tcW w:w="288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lastRenderedPageBreak/>
                          <w:t>выполнение работ по производству, первичной обработке и хранению продукции плодовых и ягодных культур (по выбору)</w:t>
                        </w:r>
                      </w:p>
                    </w:tc>
                    <w:tc>
                      <w:tcPr>
                        <w:tcW w:w="712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1.1. Выполнять немеханизированные операции по подготовке почвы, посадке плодовых и ягодных культур при закладке сада в соответствии с технологиями их возделывания.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1.2. Выполнять немеханизированные операции по уходу за плодовыми и ягодными культурами в саду в соответствии с технологиями их возделывания.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1.3. Выполнять немеханизированные операции по применению удобрений и средств защиты растений в технологическом цикле возделывания плодовых и ягодных культур в саду.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1.4. Выполнять немеханизированные операции по уборке, первичной обработке, хранению плодовой и ягодной продукции.</w:t>
                        </w:r>
                      </w:p>
                      <w:p w:rsidR="00C57132" w:rsidRDefault="00C57132">
                        <w:pPr>
                          <w:pStyle w:val="s16"/>
                          <w:spacing w:before="75" w:beforeAutospacing="0" w:after="75" w:afterAutospacing="0"/>
                          <w:ind w:left="75" w:right="75"/>
                        </w:pPr>
                        <w:r>
                          <w:t>ПК 1.5. Координировать деятельность садоводческих бригад при выполнении работ по производству, первичной обработке и хранению продукции плодовых и ягодных культур.</w:t>
                        </w:r>
                      </w:p>
                    </w:tc>
                  </w:tr>
                </w:tbl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21" w:anchor="block_1024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пунктом 2.4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3.5. Образовательная организация с учетом ПООП самостоятельно планирует результаты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обучения по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отдельным 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дисциплинам (модулям) и практикам, которые должны быть соотнесены с требуемыми результатами освоения образовательной программы.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Совокупность запланированных результатов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обучения по дисциплинам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(модулям) и практикам должна обеспечивать выпускнику освоение всех компетенций, установленных образовательной программой.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с</w:t>
                  </w:r>
                  <w:hyperlink r:id="rId22" w:anchor="block_100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перечнем</w:t>
                    </w:r>
                    <w:proofErr w:type="spellEnd"/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профессий рабочих, должностей служащих, по которым осуществляется профессиональное обучение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23" w:anchor="block_555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  <w:vertAlign w:val="superscript"/>
                      </w:rPr>
                      <w:t>5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.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3"/>
                    <w:shd w:val="clear" w:color="auto" w:fill="FFFFFF"/>
                    <w:spacing w:before="0" w:beforeAutospacing="0" w:after="300" w:afterAutospacing="0"/>
                    <w:jc w:val="center"/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72F"/>
                      <w:sz w:val="30"/>
                      <w:szCs w:val="30"/>
                    </w:rPr>
                    <w:t>IV. Требования к условиям реализации образовательной программы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  <w:sz w:val="18"/>
                      <w:szCs w:val="18"/>
                      <w:vertAlign w:val="superscript"/>
                    </w:rPr>
                    <w:t> </w:t>
                  </w:r>
                  <w:hyperlink r:id="rId24" w:anchor="block_666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  <w:vertAlign w:val="superscript"/>
                      </w:rPr>
                      <w:t>6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4.3. Общесистемные требования к условиям реализации образовательной программы: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4.4. Требования к материально-техническому и учебно-методическому обеспечению реализации образовательной программы: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быть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обеспечены расходными материалами;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г) допускается замена оборудования его виртуальными аналогами;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д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ж) в качестве основной литературы образовательная организация использует учебники, учебные пособия, предусмотренные ПООП;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з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обновлению (при необходимости);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указанных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обучающихся;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4.5. Требования к кадровым условиям реализации образовательной программы: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25" w:anchor="block_1113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пункте 1.13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ФГОС СПО (имеющих стаж работы в данной профессиональной области не менее трех лет);</w:t>
                  </w:r>
                  <w:proofErr w:type="gramEnd"/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26" w:anchor="block_1113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пункте 1.13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ФГОС СПО, а также в других областях профессиональной деятельности и (или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)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сферах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hyperlink r:id="rId27" w:anchor="block_1113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</w:rPr>
                      <w:t>пункте 1.13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464C55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 xml:space="preserve">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</w:t>
                  </w: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lastRenderedPageBreak/>
                    <w:t>не менее 25 процентов.</w:t>
                  </w:r>
                  <w:proofErr w:type="gramEnd"/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4.6. Требование к финансовым условиям реализации образовательной программы: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коэффициентов.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4.7. Требования к применяемым механизмам оценки качества образовательной программы: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            </w:r>
                </w:p>
                <w:p w:rsidR="00C57132" w:rsidRDefault="00C57132" w:rsidP="00C57132">
                  <w:pPr>
                    <w:pStyle w:val="s1"/>
                    <w:shd w:val="clear" w:color="auto" w:fill="FFFFFF"/>
                    <w:spacing w:before="0" w:beforeAutospacing="0" w:after="300" w:afterAutospacing="0"/>
                    <w:rPr>
                      <w:rFonts w:ascii="Arial" w:hAnsi="Arial" w:cs="Arial"/>
                      <w:b/>
                      <w:bCs/>
                      <w:color w:val="464C5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64C55"/>
                    </w:rPr>
                    <w:t>в) внешняя оценка качества образовательной программы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профиля,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организациями. В целях признания качества и уровня подготовки выпускников другим признанным критериям оценка может осуществляться авторизованными национальными профессионально-общественными организациями, входящими в международные структуры, в том числе иностранными организациями.</w:t>
                  </w:r>
                </w:p>
                <w:p w:rsidR="00C57132" w:rsidRDefault="00C57132" w:rsidP="00C57132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</w:p>
                <w:p w:rsidR="00C57132" w:rsidRDefault="00C57132" w:rsidP="00C57132">
                  <w:pPr>
                    <w:pStyle w:val="HTML"/>
                    <w:shd w:val="clear" w:color="auto" w:fill="FFFFFF"/>
                    <w:rPr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5B5E5F"/>
                      <w:sz w:val="18"/>
                      <w:szCs w:val="18"/>
                    </w:rPr>
                    <w:t>------------------------------</w:t>
                  </w:r>
                </w:p>
                <w:p w:rsidR="00C57132" w:rsidRDefault="00C57132" w:rsidP="00C57132">
                  <w:pPr>
                    <w:pStyle w:val="s9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7"/>
                      <w:szCs w:val="17"/>
                      <w:vertAlign w:val="superscript"/>
                    </w:rPr>
                    <w:t>1</w:t>
                  </w:r>
                  <w:hyperlink r:id="rId28" w:anchor="block_108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Федеральный государственный образовательный стандарт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среднего общего образования, утвержденный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29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приказом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Министерства образования и науки Российской Федерации от 17 мая 2012 г. N 413 (зарегистрирован Министерством юстиции Российской Федерации 7 июня 2012 г., регистрационный N 24480), с изменениями, внесенными приказами Министерства образования и науки Российской Федерации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30" w:anchor="block_100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от 29 декабря 2014 г. N 1645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(зарегистрирован Министерством юстиции Российской Федерации 9 февраля 2015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г., регистрационный N 35953),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31" w:anchor="block_10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от 31 декабря 2015 г. N 1578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(зарегистрирован Министерством юстиции Российской Федерации 9 февраля 2016 г., регистрационный N. 41020),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32" w:anchor="block_100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от 29 июня 2017 г. N 613</w:t>
                    </w:r>
                  </w:hyperlink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(зарегистрирован Министерством юстиции Российской Федерации 26 июля 2017 г., регистрационный N 47532), приказами Министерства просвещения Российской Федерации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33" w:anchor="block_1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от 24 сентября 2020 г. N 519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(зарегистрирован Министерством юстиции Российской Федерации 23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 xml:space="preserve"> декабря 2020 г., регистрационный N 61749) и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34" w:anchor="block_1003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от 11 декабря 2020 г. N 712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(зарегистрирован Министерством юстиции Российской Федерации 25 декабря 2020 г., регистрационный N 61828).</w:t>
                  </w:r>
                </w:p>
                <w:p w:rsidR="00C57132" w:rsidRDefault="00C57132" w:rsidP="00C57132">
                  <w:pPr>
                    <w:pStyle w:val="s9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7"/>
                      <w:szCs w:val="17"/>
                      <w:vertAlign w:val="superscript"/>
                    </w:rPr>
                    <w:t>2</w:t>
                  </w:r>
                  <w:hyperlink r:id="rId35" w:anchor="block_1212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Часть 2 статьи 12</w:t>
                    </w:r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7"/>
                        <w:szCs w:val="17"/>
                        <w:vertAlign w:val="superscript"/>
                      </w:rPr>
                      <w:t> 1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 xml:space="preserve">Федерального закона от 29 декабря 2012 г. N 273-ФЗ "Об образовании в Российской Федерации" (Собрание законодательства Российской 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lastRenderedPageBreak/>
                    <w:t xml:space="preserve">Федерации, 2012, N 53,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ст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, 7598; 2020, N 31, ст. 5063).</w:t>
                  </w:r>
                </w:p>
                <w:p w:rsidR="00C57132" w:rsidRDefault="00C57132" w:rsidP="00C57132">
                  <w:pPr>
                    <w:pStyle w:val="s9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7"/>
                      <w:szCs w:val="17"/>
                      <w:vertAlign w:val="superscript"/>
                    </w:rPr>
                    <w:t>3</w:t>
                  </w:r>
                  <w:hyperlink r:id="rId36" w:anchor="block_14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Статья 14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Федерального закона от 29 декабря 2012 г. N 273-Ф3 "Об образовании в Российской Федерации" (Собрание законодательства Российской Федерации, 2012, N 53, ст. 7598; 2018, N 32, ст. 5110).</w:t>
                  </w:r>
                </w:p>
                <w:p w:rsidR="00C57132" w:rsidRDefault="00C57132" w:rsidP="00C57132">
                  <w:pPr>
                    <w:pStyle w:val="s9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7"/>
                      <w:szCs w:val="17"/>
                      <w:vertAlign w:val="superscript"/>
                    </w:rPr>
                    <w:t>4</w:t>
                  </w:r>
                  <w:hyperlink r:id="rId37" w:anchor="block_1001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Таблица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 xml:space="preserve">приложения к приказу Министерства труда и социальной защиты Российской Федерации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 с изменением,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внесенным</w:t>
                  </w:r>
                  <w:hyperlink r:id="rId38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приказом</w:t>
                    </w:r>
                    <w:proofErr w:type="spellEnd"/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Министерства труда и социальной защиты Российской Федерации от 9 марта 2017 г. N 254н (зарегистрирован Министерством юстиции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Российской Федерации 29 марта 2017 г., регистрационный N 46168).</w:t>
                  </w:r>
                  <w:proofErr w:type="gramEnd"/>
                </w:p>
                <w:p w:rsidR="00C57132" w:rsidRDefault="00C57132" w:rsidP="00C57132">
                  <w:pPr>
                    <w:pStyle w:val="s9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7"/>
                      <w:szCs w:val="17"/>
                      <w:vertAlign w:val="superscript"/>
                    </w:rPr>
                    <w:t>5</w:t>
                  </w:r>
                  <w:hyperlink r:id="rId39" w:anchor="block_108861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Часть 7 статьи 73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Федерального закона от 29 декабря 2012 г. N 273-ФЗ "Об образовании в Российской Федерации" (Собрание законодательства Российской Федерации, 2012, N 53, ст. 7598; 2020, N 22, ст. 3379).</w:t>
                  </w:r>
                </w:p>
                <w:p w:rsidR="00C57132" w:rsidRDefault="00C57132" w:rsidP="00C57132">
                  <w:pPr>
                    <w:pStyle w:val="s9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7"/>
                      <w:szCs w:val="17"/>
                      <w:vertAlign w:val="superscript"/>
                    </w:rPr>
                    <w:t>6</w:t>
                  </w:r>
                  <w:hyperlink r:id="rId4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Федеральный закон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от 30 марта 1999 г. N 52-ФЗ "О санитарно-эпидемиологическом благополучии населения" (Собрание законодательства Российской Федерации, 1999, N 14, ст. 1650; 2021, N 27, ст. 5185); санитарные правила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41" w:anchor="block_1000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СП 2.4.3648-20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"Санитарно-эпидемиологические требования к организациям воспитания и обучения, отдыха и оздоровления детей и молодежи", утвержденные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42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постановлением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61573);</w:t>
                  </w:r>
                </w:p>
                <w:p w:rsidR="00C57132" w:rsidRDefault="00C57132" w:rsidP="00C57132">
                  <w:pPr>
                    <w:pStyle w:val="s9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санитарно-эпидемиологические правила и нормы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instrText xml:space="preserve"> HYPERLINK "https://base.garant.ru/74891586/53f89421bbdaf741eb2d1ecc4ddb4c33/" \l "block_1000" </w:instrTex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a4"/>
                      <w:rFonts w:ascii="Arial" w:hAnsi="Arial" w:cs="Arial"/>
                      <w:b/>
                      <w:bCs/>
                      <w:color w:val="3272C0"/>
                      <w:sz w:val="18"/>
                      <w:szCs w:val="18"/>
                    </w:rPr>
                    <w:t>СанПиН</w:t>
                  </w:r>
                  <w:proofErr w:type="spellEnd"/>
                  <w:r>
                    <w:rPr>
                      <w:rStyle w:val="a4"/>
                      <w:rFonts w:ascii="Arial" w:hAnsi="Arial" w:cs="Arial"/>
                      <w:b/>
                      <w:bCs/>
                      <w:color w:val="3272C0"/>
                      <w:sz w:val="18"/>
                      <w:szCs w:val="18"/>
                    </w:rPr>
                    <w:t xml:space="preserve"> 2.3/2.4.3590-20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 xml:space="preserve">"Санитарно-эпидемиологические требования к организации общественного питания населения",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утвержденные</w:t>
                  </w:r>
                  <w:hyperlink r:id="rId43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постановлением</w:t>
                    </w:r>
                    <w:proofErr w:type="spellEnd"/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Главного государственного санитарного врача Российской Федерации от 27 октября 2020 г. N 32 (зарегистрировано Министерством юстиции Российской Федерации 11 ноября 2020 г., регистрационный N 60833);</w:t>
                  </w:r>
                </w:p>
                <w:p w:rsidR="00C57132" w:rsidRDefault="00C57132" w:rsidP="00C57132">
                  <w:pPr>
                    <w:pStyle w:val="s91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санитарные правила и нормы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instrText xml:space="preserve"> HYPERLINK "https://base.garant.ru/400274954/24975ac4e087d8084e1778ea7178fd42/" \l "block_1000" </w:instrTex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fldChar w:fldCharType="separate"/>
                  </w:r>
                  <w:r>
                    <w:rPr>
                      <w:rStyle w:val="a4"/>
                      <w:rFonts w:ascii="Arial" w:hAnsi="Arial" w:cs="Arial"/>
                      <w:b/>
                      <w:bCs/>
                      <w:color w:val="3272C0"/>
                      <w:sz w:val="18"/>
                      <w:szCs w:val="18"/>
                    </w:rPr>
                    <w:t>СанПиН</w:t>
                  </w:r>
                  <w:proofErr w:type="spellEnd"/>
                  <w:r>
                    <w:rPr>
                      <w:rStyle w:val="a4"/>
                      <w:rFonts w:ascii="Arial" w:hAnsi="Arial" w:cs="Arial"/>
                      <w:b/>
                      <w:bCs/>
                      <w:color w:val="3272C0"/>
                      <w:sz w:val="18"/>
                      <w:szCs w:val="18"/>
                    </w:rPr>
                    <w:t xml:space="preserve"> 1.2.3685-21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fldChar w:fldCharType="end"/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"Гигиенические нормативы и требования к обеспечению безопасности и (или) безвредности для человека факторов среды обитания", утвержденные</w:t>
                  </w:r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hyperlink r:id="rId44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t>постановлением</w:t>
                    </w:r>
                  </w:hyperlink>
                  <w:r>
                    <w:rPr>
                      <w:rStyle w:val="apple-converted-space"/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Главного Государственного санитарного врача Российской Федераций от 28 января 2021 г. N 2 (зарегистрировано Министерством юстиции Российской Федерации 29 января 2021 г., регистрационный N 62296).</w:t>
                  </w:r>
                  <w:proofErr w:type="gramEnd"/>
                </w:p>
                <w:p w:rsidR="00C57132" w:rsidRDefault="00C57132" w:rsidP="00C57132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Открыть документ в системе ГАРАНТ</w:t>
                  </w:r>
                </w:p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08"/>
                    <w:gridCol w:w="4808"/>
                    <w:gridCol w:w="4808"/>
                  </w:tblGrid>
                  <w:tr w:rsidR="00C57132" w:rsidTr="00C57132">
                    <w:trPr>
                      <w:jc w:val="center"/>
                    </w:trPr>
                    <w:tc>
                      <w:tcPr>
                        <w:tcW w:w="1650" w:type="pct"/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spacing w:line="288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br/>
                          <w:t>&lt;&lt; </w:t>
                        </w:r>
                        <w:r>
                          <w:br/>
                        </w:r>
                        <w:hyperlink r:id="rId45" w:history="1">
                          <w:r>
                            <w:rPr>
                              <w:rStyle w:val="a4"/>
                              <w:color w:val="3272C0"/>
                            </w:rPr>
                            <w:t>Назад</w:t>
                          </w:r>
                        </w:hyperlink>
                      </w:p>
                    </w:tc>
                    <w:tc>
                      <w:tcPr>
                        <w:tcW w:w="1650" w:type="pct"/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spacing w:line="288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0" w:type="pct"/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spacing w:line="288" w:lineRule="atLeast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7132" w:rsidTr="00C5713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spacing w:line="288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spacing w:line="288" w:lineRule="atLeas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>Содержание</w:t>
                        </w:r>
                        <w:r>
                          <w:br/>
                        </w:r>
                        <w:hyperlink r:id="rId46" w:history="1">
                          <w:r>
                            <w:rPr>
                              <w:rStyle w:val="a4"/>
                              <w:color w:val="3272C0"/>
                            </w:rPr>
                            <w:t>Приказ Министерства просвещения РФ от 25 мая 2022 г. N 361 "Об утверждении федерального государственного образовательного...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C57132" w:rsidRDefault="00C57132">
                        <w:pPr>
                          <w:spacing w:line="288" w:lineRule="atLeas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7132" w:rsidRDefault="00C57132" w:rsidP="00C57132">
                  <w:pPr>
                    <w:shd w:val="clear" w:color="auto" w:fill="DD493B"/>
                    <w:spacing w:line="312" w:lineRule="atLeast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hyperlink r:id="rId47" w:anchor="friends" w:tooltip="Закрыть" w:history="1">
                    <w:r>
                      <w:rPr>
                        <w:rFonts w:ascii="Arial" w:hAnsi="Arial" w:cs="Arial"/>
                        <w:b/>
                        <w:bCs/>
                        <w:color w:val="3272C0"/>
                        <w:sz w:val="18"/>
                        <w:szCs w:val="18"/>
                      </w:rPr>
                      <w:pict>
                        <v:shape id="_x0000_i1026" type="#_x0000_t75" alt="" href="https://base.garant.ru/404904669/53f89421bbdaf741eb2d1ecc4ddb4c33/#friends" title="&quot;Закрыть&quot;" style="width:24pt;height:24pt" o:button="t"/>
                      </w:pict>
                    </w:r>
                  </w:hyperlink>
                </w:p>
                <w:p w:rsidR="00C57132" w:rsidRDefault="00C57132" w:rsidP="00C57132">
                  <w:pPr>
                    <w:shd w:val="clear" w:color="auto" w:fill="DD493B"/>
                    <w:spacing w:line="312" w:lineRule="atLeast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Style w:val="a7"/>
                      <w:rFonts w:ascii="Arial" w:hAnsi="Arial" w:cs="Arial"/>
                      <w:color w:val="FFFFFF"/>
                      <w:sz w:val="18"/>
                      <w:szCs w:val="18"/>
                    </w:rPr>
                    <w:t>Получите полный доступ к системе ГАРАНТ бесплатно на 3 дня!</w:t>
                  </w:r>
                </w:p>
                <w:p w:rsidR="00C57132" w:rsidRDefault="00C57132" w:rsidP="00C57132">
                  <w:pPr>
                    <w:shd w:val="clear" w:color="auto" w:fill="DD493B"/>
                    <w:spacing w:line="312" w:lineRule="atLeast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hyperlink r:id="rId48" w:anchor="form_title" w:tgtFrame="_blank" w:tooltip="Получить доступ" w:history="1">
                    <w:r>
                      <w:rPr>
                        <w:rStyle w:val="a4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Получить доступ</w:t>
                    </w:r>
                  </w:hyperlink>
                </w:p>
                <w:p w:rsidR="00C57132" w:rsidRDefault="00C57132" w:rsidP="00C57132">
                  <w:pPr>
                    <w:shd w:val="clear" w:color="auto" w:fill="FFFFFF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5B5E5F"/>
                      <w:sz w:val="18"/>
                      <w:szCs w:val="18"/>
                    </w:rPr>
                    <w:t>РЕКЛАМА</w:t>
                  </w:r>
                </w:p>
                <w:p w:rsidR="00C57132" w:rsidRDefault="00C57132" w:rsidP="00C57132">
                  <w:pPr>
                    <w:pStyle w:val="a6"/>
                    <w:spacing w:before="0" w:beforeAutospacing="0" w:after="0" w:afterAutospacing="0"/>
                    <w:textAlignment w:val="top"/>
                  </w:pPr>
                  <w:hyperlink r:id="rId49" w:history="1">
                    <w:r>
                      <w:rPr>
                        <w:rStyle w:val="a4"/>
                        <w:color w:val="3272C0"/>
                      </w:rPr>
                      <w:t>Права на материалы сайта</w:t>
                    </w:r>
                  </w:hyperlink>
                </w:p>
                <w:p w:rsidR="00C57132" w:rsidRDefault="00C57132" w:rsidP="00C57132">
                  <w:pPr>
                    <w:pStyle w:val="a6"/>
                    <w:spacing w:before="0" w:beforeAutospacing="0" w:after="0" w:afterAutospacing="0"/>
                    <w:textAlignment w:val="top"/>
                  </w:pPr>
                  <w:hyperlink r:id="rId50" w:history="1">
                    <w:r>
                      <w:rPr>
                        <w:rStyle w:val="a4"/>
                        <w:color w:val="3272C0"/>
                      </w:rPr>
                      <w:t>Реклама на портале</w:t>
                    </w:r>
                  </w:hyperlink>
                </w:p>
                <w:p w:rsidR="00C57132" w:rsidRDefault="00C57132" w:rsidP="00C57132">
                  <w:pPr>
                    <w:textAlignment w:val="top"/>
                  </w:pPr>
                  <w:hyperlink r:id="rId51" w:tgtFrame="_blank" w:history="1">
                    <w:r>
                      <w:rPr>
                        <w:color w:val="3272C0"/>
                      </w:rPr>
                      <w:pict>
                        <v:shape id="_x0000_i1027" type="#_x0000_t75" alt="" href="http://www.liveinternet.ru/click;garant-ru" target="&quot;_blank&quot;" style="width:23.25pt;height:23.25pt" o:button="t"/>
                      </w:pict>
                    </w:r>
                  </w:hyperlink>
                </w:p>
                <w:p w:rsidR="00C57132" w:rsidRDefault="00C57132" w:rsidP="00C57132">
                  <w:r>
                    <w:rPr>
                      <w:rStyle w:val="apple-converted-space"/>
                    </w:rPr>
                    <w:t> </w:t>
                  </w:r>
                </w:p>
                <w:p w:rsidR="00C57132" w:rsidRDefault="00C57132" w:rsidP="00C57132">
                  <w:pPr>
                    <w:pStyle w:val="a6"/>
                    <w:spacing w:before="0" w:beforeAutospacing="0" w:after="300" w:afterAutospacing="0"/>
                  </w:pPr>
                  <w:r>
                    <w:t>© ООО "НПП "ГАРАНТ-СЕРВИС", 2022. Система ГАРАНТ выпускается с 1990 года. Компания "Гарант" и ее партнеры являются участниками Российской ассоциации правовой информации ГАРАНТ.</w:t>
                  </w:r>
                </w:p>
                <w:p w:rsidR="00C57132" w:rsidRDefault="00C57132" w:rsidP="00C57132">
                  <w:pPr>
                    <w:pStyle w:val="a6"/>
                    <w:spacing w:before="0" w:beforeAutospacing="0" w:after="300" w:afterAutospacing="0"/>
                  </w:pPr>
                  <w:r>
                    <w:t>Портал ГАРАНТ</w:t>
                  </w:r>
                  <w:proofErr w:type="gramStart"/>
                  <w:r>
                    <w:t>.Р</w:t>
                  </w:r>
                  <w:proofErr w:type="gramEnd"/>
                  <w:r>
                    <w:t>У (</w:t>
                  </w:r>
                  <w:proofErr w:type="spellStart"/>
                  <w:r>
                    <w:t>Garant.ru</w:t>
                  </w:r>
                  <w:proofErr w:type="spellEnd"/>
                  <w:r>
                    <w:t>) зарегистрирован в качестве сетевого издания Федеральной службой по надзору в сфере связи, информационных технологий и массовых коммуникаций (</w:t>
                  </w:r>
                  <w:proofErr w:type="spellStart"/>
                  <w:r>
                    <w:t>Роскомнадзором</w:t>
                  </w:r>
                  <w:proofErr w:type="spellEnd"/>
                  <w:r>
                    <w:t>), Эл № ФС77-58365 от 18 июня 2014 г.</w:t>
                  </w:r>
                </w:p>
                <w:p w:rsidR="00C57132" w:rsidRDefault="00C57132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57132" w:rsidRDefault="00C57132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57132" w:rsidRDefault="00C57132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57132" w:rsidRDefault="00C57132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C57132" w:rsidRDefault="00C57132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 августа 2022 г.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15"/>
              </w:trPr>
              <w:tc>
                <w:tcPr>
                  <w:tcW w:w="0" w:type="auto"/>
                  <w:gridSpan w:val="15"/>
                  <w:tcBorders>
                    <w:top w:val="nil"/>
                    <w:left w:val="nil"/>
                  </w:tcBorders>
                  <w:shd w:val="clear" w:color="auto" w:fill="D5EEFF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ГБПОУ НСО "Венгеровский центр профессионального обучения"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225"/>
              </w:trPr>
              <w:tc>
                <w:tcPr>
                  <w:tcW w:w="0" w:type="auto"/>
                  <w:gridSpan w:val="1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(наименование профессионального образовательного учреждения)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15"/>
              </w:trPr>
              <w:tc>
                <w:tcPr>
                  <w:tcW w:w="0" w:type="auto"/>
                  <w:gridSpan w:val="15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57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 xml:space="preserve">Код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Наименование профессии, специальности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Выпуск 2022 года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 xml:space="preserve">Продолжают </w:t>
                  </w:r>
                  <w:proofErr w:type="gramStart"/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обучение по</w:t>
                  </w:r>
                  <w:proofErr w:type="gramEnd"/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 xml:space="preserve"> очной форме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 xml:space="preserve">Призваны (подлежат призыву) в Вооруженные Силы </w:t>
                  </w: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 xml:space="preserve">РФ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Находятся в отпусках по уходу за ребенком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Трудоустроены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Не трудоустроены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 xml:space="preserve">Численность выпускников, выведенных из мониторинга по причине </w:t>
                  </w: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утраты обратной связи*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Примечания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3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0" w:type="auto"/>
                  <w:vMerge w:val="restart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по программам высшего образования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по программам среднего профессионального образовани</w:t>
                  </w: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 xml:space="preserve">в том числе по полученной профессии/ </w:t>
                  </w: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специальности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 xml:space="preserve">из них по месту прохождения производственной </w:t>
                  </w: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(преддипломной) практики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135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на базе основного общего образо</w:t>
                  </w: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вания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на базе среднего общего образо</w:t>
                  </w: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вания</w:t>
                  </w: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1395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15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25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Программы подготовки специалистов среднего звена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225"/>
              </w:trPr>
              <w:tc>
                <w:tcPr>
                  <w:tcW w:w="0" w:type="auto"/>
                  <w:gridSpan w:val="1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&lt; Для добавления строк выделите данную область и нажмите кнопку «Добавить строку». &gt;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49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Программы подготовки квалифицированных рабочих, служащих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70208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70208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225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35.01.09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Мастер растениеводства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70208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70208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225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35.01.13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Тракторист-машинист сельскохозяйственного производства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225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14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&lt; Для добавления строк выделите данную область и нажмите кнопку «Добавить строку». &gt;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70208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70208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"дети - сироты"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57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 xml:space="preserve">выпускники, относящиеся к категории инвалидов и лиц с ОВЗ, завершившие </w:t>
                  </w:r>
                  <w:proofErr w:type="gramStart"/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обучение по программам</w:t>
                  </w:r>
                  <w:proofErr w:type="gramEnd"/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 xml:space="preserve"> СПО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выпускники, обучавшиеся по договорам целевого обучения**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DC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выпускники, трудоустроенные до призыва в </w:t>
                  </w:r>
                  <w:proofErr w:type="gramStart"/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ВС</w:t>
                  </w:r>
                  <w:proofErr w:type="gramEnd"/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 РФ***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C0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gridSpan w:val="15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* - при наличии документального подтверждения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gridSpan w:val="15"/>
                  <w:tcBorders>
                    <w:top w:val="nil"/>
                    <w:left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** - в графе 11 указать численность выпускников, трудоустроенных на предприятия в соответствии с договорами о целевом обучении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15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*** - заполняется на дату призыва </w:t>
                  </w:r>
                  <w:proofErr w:type="gramStart"/>
                  <w:r w:rsidRPr="00E137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выпускника</w:t>
                  </w:r>
                  <w:proofErr w:type="gramEnd"/>
                  <w:r w:rsidRPr="00E137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на военную службу в Вооруженные Силы Российской Федерации с рабочего места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15"/>
              </w:trPr>
              <w:tc>
                <w:tcPr>
                  <w:tcW w:w="0" w:type="auto"/>
                  <w:gridSpan w:val="15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E1372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13729" w:rsidRPr="00E13729" w:rsidTr="00C57132">
              <w:trPr>
                <w:trHeight w:val="315"/>
              </w:trPr>
              <w:tc>
                <w:tcPr>
                  <w:tcW w:w="0" w:type="auto"/>
                  <w:gridSpan w:val="2"/>
                  <w:tcBorders>
                    <w:bottom w:val="nil"/>
                  </w:tcBorders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Руководитель учреждения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shd w:val="clear" w:color="auto" w:fill="D5EEFF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shd w:val="clear" w:color="auto" w:fill="D5EEFF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shd w:val="clear" w:color="auto" w:fill="D5EEFF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shd w:val="clear" w:color="auto" w:fill="D5EEFF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ВП Вишняков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15"/>
              </w:trPr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0000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i/>
                      <w:iCs/>
                      <w:lang w:eastAsia="ru-RU"/>
                    </w:rPr>
                    <w:t>(ФИО) (отчество при наличии)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  <w:lastRenderedPageBreak/>
                    <w:t>Исполнитель: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shd w:val="clear" w:color="auto" w:fill="D5EEFF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ОВ Щербицкая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6" w:space="0" w:color="000000"/>
                  </w:tcBorders>
                  <w:shd w:val="clear" w:color="auto" w:fill="D5EEFF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bottom w:val="single" w:sz="6" w:space="0" w:color="000000"/>
                  </w:tcBorders>
                  <w:shd w:val="clear" w:color="auto" w:fill="D5EEFF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  <w:t>зам по </w:t>
                  </w:r>
                  <w:proofErr w:type="gramStart"/>
                  <w:r w:rsidRPr="00E1372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  <w:t>УПР</w:t>
                  </w:r>
                  <w:proofErr w:type="gramEnd"/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bottom w:val="single" w:sz="6" w:space="0" w:color="000000"/>
                    <w:right w:val="nil"/>
                  </w:tcBorders>
                  <w:shd w:val="clear" w:color="auto" w:fill="D5EEFF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lang w:eastAsia="ru-RU"/>
                    </w:rPr>
                    <w:t>3836922151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13729" w:rsidRPr="00E13729" w:rsidTr="00C57132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E13729">
                    <w:rPr>
                      <w:rFonts w:ascii="Times New Roman" w:eastAsia="Times New Roman" w:hAnsi="Times New Roman"/>
                      <w:lang w:eastAsia="ru-RU"/>
                    </w:rPr>
                    <w:t>Должность, ФИО (отчество при наличии), телефон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nil"/>
                  </w:tcBorders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E13729" w:rsidRPr="00E13729" w:rsidRDefault="00E13729" w:rsidP="00E137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13729" w:rsidRDefault="00E13729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 июля 2022 г.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</w:tcBorders>
            <w:shd w:val="clear" w:color="auto" w:fill="D5EEFF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ГБПОУ НСО "Венгеровский центр профессионального обучения"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225"/>
        </w:trPr>
        <w:tc>
          <w:tcPr>
            <w:tcW w:w="0" w:type="auto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 профессионального образовательного учреждения)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15"/>
        </w:trPr>
        <w:tc>
          <w:tcPr>
            <w:tcW w:w="0" w:type="auto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5932A1" w:rsidRPr="005932A1" w:rsidRDefault="005932A1" w:rsidP="00593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 xml:space="preserve">Код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Наименование профессии, специальности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Выпуск 2022 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 xml:space="preserve">Продолжают </w:t>
            </w:r>
            <w:proofErr w:type="gramStart"/>
            <w:r w:rsidRPr="005932A1">
              <w:rPr>
                <w:rFonts w:ascii="Times New Roman" w:eastAsia="Times New Roman" w:hAnsi="Times New Roman"/>
                <w:lang w:eastAsia="ru-RU"/>
              </w:rPr>
              <w:t>обучение по</w:t>
            </w:r>
            <w:proofErr w:type="gramEnd"/>
            <w:r w:rsidRPr="005932A1">
              <w:rPr>
                <w:rFonts w:ascii="Times New Roman" w:eastAsia="Times New Roman" w:hAnsi="Times New Roman"/>
                <w:lang w:eastAsia="ru-RU"/>
              </w:rPr>
              <w:t xml:space="preserve"> очной форме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 xml:space="preserve">Призваны (подлежат призыву) в Вооруженные Силы </w:t>
            </w: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РФ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Находятся в отпусках по уходу за ребенком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Трудоустроены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Не трудоустроены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 xml:space="preserve">Численность выпускников, выведенных из мониторинга по причине </w:t>
            </w: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утраты обратной связи*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Примечания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по программам высшего образов</w:t>
            </w: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по программам среднего профессионального образовани</w:t>
            </w: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 xml:space="preserve">в том числе по полученной профессии/ </w:t>
            </w: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специальности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из них по месту прохождения производственной </w:t>
            </w: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(преддипломной) практики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1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на базе основного общего образов</w:t>
            </w: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на базе среднего общего образов</w:t>
            </w: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ания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13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32A1" w:rsidRPr="005932A1" w:rsidTr="005932A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932A1" w:rsidRPr="005932A1" w:rsidTr="005932A1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3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225"/>
        </w:trPr>
        <w:tc>
          <w:tcPr>
            <w:tcW w:w="0" w:type="auto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3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35.01.09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Мастер растениеводства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35.01.13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93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Программы профессиональной подготовки для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22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&lt; Для добавления строк выделите данную область и нажмите кнопку «Добавить строку». &gt;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225"/>
        </w:trPr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32A1" w:rsidRPr="005932A1" w:rsidTr="005932A1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"дети - сироты"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 xml:space="preserve">выпускники, относящиеся к категории инвалидов и лиц с ОВЗ, завершившие </w:t>
            </w:r>
            <w:proofErr w:type="gramStart"/>
            <w:r w:rsidRPr="005932A1">
              <w:rPr>
                <w:rFonts w:ascii="Times New Roman" w:eastAsia="Times New Roman" w:hAnsi="Times New Roman"/>
                <w:lang w:eastAsia="ru-RU"/>
              </w:rPr>
              <w:t>обучение по программам</w:t>
            </w:r>
            <w:proofErr w:type="gramEnd"/>
            <w:r w:rsidRPr="005932A1">
              <w:rPr>
                <w:rFonts w:ascii="Times New Roman" w:eastAsia="Times New Roman" w:hAnsi="Times New Roman"/>
                <w:lang w:eastAsia="ru-RU"/>
              </w:rPr>
              <w:t xml:space="preserve"> 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выпускники, обучавшиеся по договорам целевого обучения**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DC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выпускники, трудоустроенные до призыва в </w:t>
            </w:r>
            <w:proofErr w:type="gramStart"/>
            <w:r w:rsidRPr="005932A1">
              <w:rPr>
                <w:rFonts w:ascii="Times New Roman" w:eastAsia="Times New Roman" w:hAnsi="Times New Roman"/>
                <w:lang w:eastAsia="ru-RU"/>
              </w:rPr>
              <w:t>ВС</w:t>
            </w:r>
            <w:proofErr w:type="gramEnd"/>
            <w:r w:rsidRPr="005932A1">
              <w:rPr>
                <w:rFonts w:ascii="Times New Roman" w:eastAsia="Times New Roman" w:hAnsi="Times New Roman"/>
                <w:lang w:eastAsia="ru-RU"/>
              </w:rPr>
              <w:t> РФ***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00"/>
        </w:trPr>
        <w:tc>
          <w:tcPr>
            <w:tcW w:w="0" w:type="auto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* - при наличии документального подтверждения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00"/>
        </w:trPr>
        <w:tc>
          <w:tcPr>
            <w:tcW w:w="0" w:type="auto"/>
            <w:gridSpan w:val="15"/>
            <w:tcBorders>
              <w:top w:val="nil"/>
              <w:left w:val="nil"/>
            </w:tcBorders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lang w:eastAsia="ru-RU"/>
              </w:rPr>
              <w:t>** - в графе 11 указать численность выпускников, трудоустроенных на предприятия в соответствии с договорами о целевом обучении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15"/>
        </w:trPr>
        <w:tc>
          <w:tcPr>
            <w:tcW w:w="0" w:type="auto"/>
            <w:gridSpan w:val="15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 - заполняется на дату призыва </w:t>
            </w:r>
            <w:proofErr w:type="gramStart"/>
            <w:r w:rsidRPr="0059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выпускника</w:t>
            </w:r>
            <w:proofErr w:type="gramEnd"/>
            <w:r w:rsidRPr="0059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на военную службу в Вооруженные Силы Российской Федерации с рабочего места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2A1" w:rsidRPr="005932A1" w:rsidTr="005932A1">
        <w:trPr>
          <w:trHeight w:val="315"/>
        </w:trPr>
        <w:tc>
          <w:tcPr>
            <w:tcW w:w="0" w:type="auto"/>
            <w:gridSpan w:val="15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2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32A1" w:rsidRPr="005932A1" w:rsidTr="005932A1">
        <w:trPr>
          <w:trHeight w:val="315"/>
        </w:trPr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Руководитель учреждения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5EEFF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5EEFF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D5EEFF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D5EEFF"/>
            <w:hideMark/>
          </w:tcPr>
          <w:p w:rsidR="005932A1" w:rsidRPr="005932A1" w:rsidRDefault="005932A1" w:rsidP="00593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3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 Вишняков</w:t>
            </w: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2A1" w:rsidRPr="005932A1" w:rsidRDefault="005932A1" w:rsidP="005932A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A7066" w:rsidRPr="009A04C3" w:rsidRDefault="00DA7066" w:rsidP="009A04C3">
      <w:pPr>
        <w:rPr>
          <w:szCs w:val="144"/>
        </w:rPr>
      </w:pPr>
    </w:p>
    <w:sectPr w:rsidR="00DA7066" w:rsidRPr="009A04C3" w:rsidSect="00593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0AC"/>
    <w:multiLevelType w:val="multilevel"/>
    <w:tmpl w:val="3AC4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437FC"/>
    <w:multiLevelType w:val="multilevel"/>
    <w:tmpl w:val="EF34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B747D"/>
    <w:multiLevelType w:val="multilevel"/>
    <w:tmpl w:val="3FB4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736A8"/>
    <w:multiLevelType w:val="multilevel"/>
    <w:tmpl w:val="FB1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07580"/>
    <w:multiLevelType w:val="multilevel"/>
    <w:tmpl w:val="104EED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F73C7"/>
    <w:multiLevelType w:val="multilevel"/>
    <w:tmpl w:val="B30C40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D7367"/>
    <w:multiLevelType w:val="multilevel"/>
    <w:tmpl w:val="EA6CC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E434D"/>
    <w:multiLevelType w:val="multilevel"/>
    <w:tmpl w:val="6A42F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7C78D2"/>
    <w:multiLevelType w:val="multilevel"/>
    <w:tmpl w:val="D550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003DD"/>
    <w:multiLevelType w:val="multilevel"/>
    <w:tmpl w:val="992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C220A"/>
    <w:multiLevelType w:val="multilevel"/>
    <w:tmpl w:val="1C06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5075F"/>
    <w:multiLevelType w:val="multilevel"/>
    <w:tmpl w:val="F0A4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02679D"/>
    <w:multiLevelType w:val="multilevel"/>
    <w:tmpl w:val="9F88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96187"/>
    <w:multiLevelType w:val="multilevel"/>
    <w:tmpl w:val="63AA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E00F83"/>
    <w:multiLevelType w:val="multilevel"/>
    <w:tmpl w:val="9AB8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E77E5"/>
    <w:multiLevelType w:val="multilevel"/>
    <w:tmpl w:val="CA98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083F4B"/>
    <w:multiLevelType w:val="multilevel"/>
    <w:tmpl w:val="B8C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431B7"/>
    <w:multiLevelType w:val="multilevel"/>
    <w:tmpl w:val="0ADE5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F22266"/>
    <w:multiLevelType w:val="multilevel"/>
    <w:tmpl w:val="D0E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36D7A"/>
    <w:multiLevelType w:val="multilevel"/>
    <w:tmpl w:val="57D2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3"/>
  </w:num>
  <w:num w:numId="5">
    <w:abstractNumId w:val="15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17"/>
  </w:num>
  <w:num w:numId="15">
    <w:abstractNumId w:val="0"/>
  </w:num>
  <w:num w:numId="16">
    <w:abstractNumId w:val="16"/>
  </w:num>
  <w:num w:numId="17">
    <w:abstractNumId w:val="8"/>
  </w:num>
  <w:num w:numId="18">
    <w:abstractNumId w:val="1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989"/>
    <w:rsid w:val="000148B3"/>
    <w:rsid w:val="0001765F"/>
    <w:rsid w:val="001E24FA"/>
    <w:rsid w:val="0026240D"/>
    <w:rsid w:val="00285C83"/>
    <w:rsid w:val="002B18BA"/>
    <w:rsid w:val="002F1388"/>
    <w:rsid w:val="002F1721"/>
    <w:rsid w:val="00320CBF"/>
    <w:rsid w:val="00352122"/>
    <w:rsid w:val="003531AD"/>
    <w:rsid w:val="003A4FB8"/>
    <w:rsid w:val="00483C4C"/>
    <w:rsid w:val="004E581F"/>
    <w:rsid w:val="00507F95"/>
    <w:rsid w:val="005355CA"/>
    <w:rsid w:val="00557451"/>
    <w:rsid w:val="005932A1"/>
    <w:rsid w:val="00666FB0"/>
    <w:rsid w:val="00682E9D"/>
    <w:rsid w:val="006A11ED"/>
    <w:rsid w:val="006A7B05"/>
    <w:rsid w:val="00752E98"/>
    <w:rsid w:val="00757F3E"/>
    <w:rsid w:val="007947B3"/>
    <w:rsid w:val="007E3FCD"/>
    <w:rsid w:val="007F0666"/>
    <w:rsid w:val="009A04C3"/>
    <w:rsid w:val="009C1B24"/>
    <w:rsid w:val="009D16F7"/>
    <w:rsid w:val="00A21977"/>
    <w:rsid w:val="00A25D3F"/>
    <w:rsid w:val="00A83C59"/>
    <w:rsid w:val="00AE4CAC"/>
    <w:rsid w:val="00B56CF7"/>
    <w:rsid w:val="00B72DFC"/>
    <w:rsid w:val="00B86F02"/>
    <w:rsid w:val="00BB469F"/>
    <w:rsid w:val="00BC6989"/>
    <w:rsid w:val="00C40A23"/>
    <w:rsid w:val="00C56511"/>
    <w:rsid w:val="00C57132"/>
    <w:rsid w:val="00CD6A51"/>
    <w:rsid w:val="00CF05A3"/>
    <w:rsid w:val="00D27B26"/>
    <w:rsid w:val="00D460F0"/>
    <w:rsid w:val="00D653E0"/>
    <w:rsid w:val="00DA7066"/>
    <w:rsid w:val="00E02B54"/>
    <w:rsid w:val="00E1126F"/>
    <w:rsid w:val="00E13729"/>
    <w:rsid w:val="00E70208"/>
    <w:rsid w:val="00EB32F7"/>
    <w:rsid w:val="00F40120"/>
    <w:rsid w:val="00FE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4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06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20">
    <w:name w:val="Заголовок 2 Знак"/>
    <w:basedOn w:val="a0"/>
    <w:link w:val="2"/>
    <w:uiPriority w:val="9"/>
    <w:rsid w:val="007F06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31">
    <w:name w:val="c31"/>
    <w:basedOn w:val="a0"/>
    <w:rsid w:val="007F0666"/>
  </w:style>
  <w:style w:type="paragraph" w:customStyle="1" w:styleId="c1">
    <w:name w:val="c1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0">
    <w:name w:val="c14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a0"/>
    <w:rsid w:val="007F0666"/>
  </w:style>
  <w:style w:type="paragraph" w:customStyle="1" w:styleId="c78">
    <w:name w:val="c7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2">
    <w:name w:val="c92"/>
    <w:basedOn w:val="a0"/>
    <w:rsid w:val="007F0666"/>
  </w:style>
  <w:style w:type="paragraph" w:customStyle="1" w:styleId="c37">
    <w:name w:val="c3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0">
    <w:name w:val="c50"/>
    <w:basedOn w:val="a0"/>
    <w:rsid w:val="007F0666"/>
  </w:style>
  <w:style w:type="paragraph" w:customStyle="1" w:styleId="c27">
    <w:name w:val="c2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F0666"/>
  </w:style>
  <w:style w:type="paragraph" w:customStyle="1" w:styleId="c12">
    <w:name w:val="c1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a0"/>
    <w:rsid w:val="007F0666"/>
  </w:style>
  <w:style w:type="character" w:customStyle="1" w:styleId="c5">
    <w:name w:val="c5"/>
    <w:basedOn w:val="a0"/>
    <w:rsid w:val="007F0666"/>
  </w:style>
  <w:style w:type="paragraph" w:customStyle="1" w:styleId="c52">
    <w:name w:val="c5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0">
    <w:name w:val="c100"/>
    <w:basedOn w:val="a0"/>
    <w:rsid w:val="007F0666"/>
  </w:style>
  <w:style w:type="character" w:customStyle="1" w:styleId="c119">
    <w:name w:val="c119"/>
    <w:basedOn w:val="a0"/>
    <w:rsid w:val="007F0666"/>
  </w:style>
  <w:style w:type="paragraph" w:customStyle="1" w:styleId="c127">
    <w:name w:val="c12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2">
    <w:name w:val="c72"/>
    <w:basedOn w:val="a0"/>
    <w:rsid w:val="007F0666"/>
  </w:style>
  <w:style w:type="character" w:customStyle="1" w:styleId="c144">
    <w:name w:val="c144"/>
    <w:basedOn w:val="a0"/>
    <w:rsid w:val="007F0666"/>
  </w:style>
  <w:style w:type="character" w:customStyle="1" w:styleId="c48">
    <w:name w:val="c48"/>
    <w:basedOn w:val="a0"/>
    <w:rsid w:val="007F0666"/>
  </w:style>
  <w:style w:type="paragraph" w:customStyle="1" w:styleId="c91">
    <w:name w:val="c91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6">
    <w:name w:val="c126"/>
    <w:basedOn w:val="a0"/>
    <w:rsid w:val="007F0666"/>
  </w:style>
  <w:style w:type="paragraph" w:customStyle="1" w:styleId="c108">
    <w:name w:val="c10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1">
    <w:name w:val="c71"/>
    <w:basedOn w:val="a0"/>
    <w:rsid w:val="007F0666"/>
  </w:style>
  <w:style w:type="paragraph" w:customStyle="1" w:styleId="c40">
    <w:name w:val="c4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5">
    <w:name w:val="c145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6">
    <w:name w:val="c96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7F0666"/>
  </w:style>
  <w:style w:type="character" w:customStyle="1" w:styleId="c11">
    <w:name w:val="c11"/>
    <w:basedOn w:val="a0"/>
    <w:rsid w:val="007F0666"/>
  </w:style>
  <w:style w:type="character" w:customStyle="1" w:styleId="c21">
    <w:name w:val="c21"/>
    <w:basedOn w:val="a0"/>
    <w:rsid w:val="007F0666"/>
  </w:style>
  <w:style w:type="character" w:customStyle="1" w:styleId="c151">
    <w:name w:val="c151"/>
    <w:basedOn w:val="a0"/>
    <w:rsid w:val="007F0666"/>
  </w:style>
  <w:style w:type="character" w:customStyle="1" w:styleId="c102">
    <w:name w:val="c102"/>
    <w:basedOn w:val="a0"/>
    <w:rsid w:val="007F0666"/>
  </w:style>
  <w:style w:type="paragraph" w:customStyle="1" w:styleId="c136">
    <w:name w:val="c136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0">
    <w:name w:val="c70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7F0666"/>
  </w:style>
  <w:style w:type="character" w:customStyle="1" w:styleId="c45">
    <w:name w:val="c45"/>
    <w:basedOn w:val="a0"/>
    <w:rsid w:val="007F0666"/>
  </w:style>
  <w:style w:type="paragraph" w:customStyle="1" w:styleId="c7">
    <w:name w:val="c7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8">
    <w:name w:val="c98"/>
    <w:basedOn w:val="a"/>
    <w:rsid w:val="007F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0">
    <w:name w:val="c90"/>
    <w:basedOn w:val="a0"/>
    <w:rsid w:val="007F0666"/>
  </w:style>
  <w:style w:type="character" w:customStyle="1" w:styleId="c41">
    <w:name w:val="c41"/>
    <w:basedOn w:val="a0"/>
    <w:rsid w:val="007F0666"/>
  </w:style>
  <w:style w:type="character" w:styleId="a4">
    <w:name w:val="Hyperlink"/>
    <w:basedOn w:val="a0"/>
    <w:uiPriority w:val="99"/>
    <w:semiHidden/>
    <w:unhideWhenUsed/>
    <w:rsid w:val="007F06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F0666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14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014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81F"/>
  </w:style>
  <w:style w:type="character" w:customStyle="1" w:styleId="60">
    <w:name w:val="Заголовок 6 Знак"/>
    <w:basedOn w:val="a0"/>
    <w:link w:val="6"/>
    <w:uiPriority w:val="9"/>
    <w:semiHidden/>
    <w:rsid w:val="00CD6A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Strong"/>
    <w:basedOn w:val="a0"/>
    <w:uiPriority w:val="22"/>
    <w:qFormat/>
    <w:rsid w:val="00CD6A51"/>
    <w:rPr>
      <w:b/>
      <w:bCs/>
    </w:rPr>
  </w:style>
  <w:style w:type="character" w:customStyle="1" w:styleId="feeds-pagenavigationicon">
    <w:name w:val="feeds-page__navigation_icon"/>
    <w:basedOn w:val="a0"/>
    <w:rsid w:val="00A83C59"/>
  </w:style>
  <w:style w:type="character" w:customStyle="1" w:styleId="feeds-pagenavigationtooltip">
    <w:name w:val="feeds-page__navigation_tooltip"/>
    <w:basedOn w:val="a0"/>
    <w:rsid w:val="00A83C59"/>
  </w:style>
  <w:style w:type="character" w:customStyle="1" w:styleId="m-2">
    <w:name w:val="m-2"/>
    <w:basedOn w:val="a0"/>
    <w:rsid w:val="0026240D"/>
  </w:style>
  <w:style w:type="character" w:customStyle="1" w:styleId="tags-title">
    <w:name w:val="tags-title"/>
    <w:basedOn w:val="a0"/>
    <w:rsid w:val="0026240D"/>
  </w:style>
  <w:style w:type="character" w:customStyle="1" w:styleId="tags">
    <w:name w:val="tags"/>
    <w:basedOn w:val="a0"/>
    <w:rsid w:val="0026240D"/>
  </w:style>
  <w:style w:type="paragraph" w:styleId="HTML">
    <w:name w:val="HTML Preformatted"/>
    <w:basedOn w:val="a"/>
    <w:link w:val="HTML0"/>
    <w:uiPriority w:val="99"/>
    <w:semiHidden/>
    <w:unhideWhenUsed/>
    <w:rsid w:val="00B72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D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57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C57132"/>
  </w:style>
  <w:style w:type="paragraph" w:customStyle="1" w:styleId="s3">
    <w:name w:val="s_3"/>
    <w:basedOn w:val="a"/>
    <w:rsid w:val="00C57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57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C57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0371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11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94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55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5970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4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5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8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5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1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1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4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1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3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46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5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9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6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1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5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1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5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2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0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8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991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1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735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6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4904669/53f89421bbdaf741eb2d1ecc4ddb4c33/" TargetMode="External"/><Relationship Id="rId18" Type="http://schemas.openxmlformats.org/officeDocument/2006/relationships/hyperlink" Target="https://base.garant.ru/404904669/53f89421bbdaf741eb2d1ecc4ddb4c33/" TargetMode="External"/><Relationship Id="rId26" Type="http://schemas.openxmlformats.org/officeDocument/2006/relationships/hyperlink" Target="https://base.garant.ru/404904669/53f89421bbdaf741eb2d1ecc4ddb4c33/" TargetMode="External"/><Relationship Id="rId39" Type="http://schemas.openxmlformats.org/officeDocument/2006/relationships/hyperlink" Target="https://base.garant.ru/70291362/35d2444eaabb431d4fc58eeb6ffc61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404904669/53f89421bbdaf741eb2d1ecc4ddb4c33/" TargetMode="External"/><Relationship Id="rId34" Type="http://schemas.openxmlformats.org/officeDocument/2006/relationships/hyperlink" Target="https://base.garant.ru/400142312/53f89421bbdaf741eb2d1ecc4ddb4c33/" TargetMode="External"/><Relationship Id="rId42" Type="http://schemas.openxmlformats.org/officeDocument/2006/relationships/hyperlink" Target="https://base.garant.ru/75093644/" TargetMode="External"/><Relationship Id="rId47" Type="http://schemas.openxmlformats.org/officeDocument/2006/relationships/hyperlink" Target="https://base.garant.ru/404904669/53f89421bbdaf741eb2d1ecc4ddb4c33/" TargetMode="External"/><Relationship Id="rId50" Type="http://schemas.openxmlformats.org/officeDocument/2006/relationships/hyperlink" Target="http://www.garant.ru/adv/" TargetMode="External"/><Relationship Id="rId7" Type="http://schemas.openxmlformats.org/officeDocument/2006/relationships/hyperlink" Target="https://base.garant.ru/70188902/8ef641d3b80ff01d34be16ce9bafc6e0/" TargetMode="External"/><Relationship Id="rId12" Type="http://schemas.openxmlformats.org/officeDocument/2006/relationships/hyperlink" Target="https://base.garant.ru/70807194/53f89421bbdaf741eb2d1ecc4ddb4c33/" TargetMode="External"/><Relationship Id="rId17" Type="http://schemas.openxmlformats.org/officeDocument/2006/relationships/hyperlink" Target="https://base.garant.ru/404904669/53f89421bbdaf741eb2d1ecc4ddb4c33/" TargetMode="External"/><Relationship Id="rId25" Type="http://schemas.openxmlformats.org/officeDocument/2006/relationships/hyperlink" Target="https://base.garant.ru/404904669/53f89421bbdaf741eb2d1ecc4ddb4c33/" TargetMode="External"/><Relationship Id="rId33" Type="http://schemas.openxmlformats.org/officeDocument/2006/relationships/hyperlink" Target="https://base.garant.ru/400118822/19f2d2e22a99a658d2f82de560a53784/" TargetMode="External"/><Relationship Id="rId38" Type="http://schemas.openxmlformats.org/officeDocument/2006/relationships/hyperlink" Target="https://base.garant.ru/71642732/" TargetMode="External"/><Relationship Id="rId46" Type="http://schemas.openxmlformats.org/officeDocument/2006/relationships/hyperlink" Target="https://base.garant.ru/4049046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4904669/53f89421bbdaf741eb2d1ecc4ddb4c33/" TargetMode="External"/><Relationship Id="rId20" Type="http://schemas.openxmlformats.org/officeDocument/2006/relationships/hyperlink" Target="https://base.garant.ru/404904669/53f89421bbdaf741eb2d1ecc4ddb4c33/" TargetMode="External"/><Relationship Id="rId29" Type="http://schemas.openxmlformats.org/officeDocument/2006/relationships/hyperlink" Target="https://base.garant.ru/70188902/" TargetMode="External"/><Relationship Id="rId41" Type="http://schemas.openxmlformats.org/officeDocument/2006/relationships/hyperlink" Target="https://base.garant.ru/75093644/86674d20d06c3956a601ddc16326e3a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404848057/53f89421bbdaf741eb2d1ecc4ddb4c33/" TargetMode="External"/><Relationship Id="rId11" Type="http://schemas.openxmlformats.org/officeDocument/2006/relationships/hyperlink" Target="https://base.garant.ru/404904669/53f89421bbdaf741eb2d1ecc4ddb4c33/" TargetMode="External"/><Relationship Id="rId24" Type="http://schemas.openxmlformats.org/officeDocument/2006/relationships/hyperlink" Target="https://base.garant.ru/404904669/53f89421bbdaf741eb2d1ecc4ddb4c33/" TargetMode="External"/><Relationship Id="rId32" Type="http://schemas.openxmlformats.org/officeDocument/2006/relationships/hyperlink" Target="https://base.garant.ru/71730758/53f89421bbdaf741eb2d1ecc4ddb4c33/" TargetMode="External"/><Relationship Id="rId37" Type="http://schemas.openxmlformats.org/officeDocument/2006/relationships/hyperlink" Target="https://base.garant.ru/70807194/53f89421bbdaf741eb2d1ecc4ddb4c33/" TargetMode="External"/><Relationship Id="rId40" Type="http://schemas.openxmlformats.org/officeDocument/2006/relationships/hyperlink" Target="https://base.garant.ru/12115118/" TargetMode="External"/><Relationship Id="rId45" Type="http://schemas.openxmlformats.org/officeDocument/2006/relationships/hyperlink" Target="https://base.garant.ru/404904669/7001211230b59cc0f51c71545ed2374d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ase.garant.ru/404904669/" TargetMode="External"/><Relationship Id="rId15" Type="http://schemas.openxmlformats.org/officeDocument/2006/relationships/hyperlink" Target="https://base.garant.ru/404904669/53f89421bbdaf741eb2d1ecc4ddb4c33/" TargetMode="External"/><Relationship Id="rId23" Type="http://schemas.openxmlformats.org/officeDocument/2006/relationships/hyperlink" Target="https://base.garant.ru/404904669/53f89421bbdaf741eb2d1ecc4ddb4c33/" TargetMode="External"/><Relationship Id="rId28" Type="http://schemas.openxmlformats.org/officeDocument/2006/relationships/hyperlink" Target="https://base.garant.ru/70188902/8ef641d3b80ff01d34be16ce9bafc6e0/" TargetMode="External"/><Relationship Id="rId36" Type="http://schemas.openxmlformats.org/officeDocument/2006/relationships/hyperlink" Target="https://base.garant.ru/70291362/888134b28b1397ffae87a0ab1e117954/" TargetMode="External"/><Relationship Id="rId49" Type="http://schemas.openxmlformats.org/officeDocument/2006/relationships/hyperlink" Target="http://www.garant.ru/company/disclaimer/" TargetMode="External"/><Relationship Id="rId10" Type="http://schemas.openxmlformats.org/officeDocument/2006/relationships/hyperlink" Target="https://base.garant.ru/404904669/53f89421bbdaf741eb2d1ecc4ddb4c33/" TargetMode="External"/><Relationship Id="rId19" Type="http://schemas.openxmlformats.org/officeDocument/2006/relationships/hyperlink" Target="https://base.garant.ru/404904669/53f89421bbdaf741eb2d1ecc4ddb4c33/" TargetMode="External"/><Relationship Id="rId31" Type="http://schemas.openxmlformats.org/officeDocument/2006/relationships/hyperlink" Target="https://base.garant.ru/71326468/89300effb84a59912210b23abe10a68f/" TargetMode="External"/><Relationship Id="rId44" Type="http://schemas.openxmlformats.org/officeDocument/2006/relationships/hyperlink" Target="https://base.garant.ru/400274954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4904669/53f89421bbdaf741eb2d1ecc4ddb4c33/" TargetMode="External"/><Relationship Id="rId14" Type="http://schemas.openxmlformats.org/officeDocument/2006/relationships/hyperlink" Target="https://base.garant.ru/404904669/53f89421bbdaf741eb2d1ecc4ddb4c33/" TargetMode="External"/><Relationship Id="rId22" Type="http://schemas.openxmlformats.org/officeDocument/2006/relationships/hyperlink" Target="https://base.garant.ru/70433916/53f89421bbdaf741eb2d1ecc4ddb4c33/" TargetMode="External"/><Relationship Id="rId27" Type="http://schemas.openxmlformats.org/officeDocument/2006/relationships/hyperlink" Target="https://base.garant.ru/404904669/53f89421bbdaf741eb2d1ecc4ddb4c33/" TargetMode="External"/><Relationship Id="rId30" Type="http://schemas.openxmlformats.org/officeDocument/2006/relationships/hyperlink" Target="https://base.garant.ru/70866626/53f89421bbdaf741eb2d1ecc4ddb4c33/" TargetMode="External"/><Relationship Id="rId35" Type="http://schemas.openxmlformats.org/officeDocument/2006/relationships/hyperlink" Target="https://base.garant.ru/70291362/52c76309b24d2ceead577058fbc4378e/" TargetMode="External"/><Relationship Id="rId43" Type="http://schemas.openxmlformats.org/officeDocument/2006/relationships/hyperlink" Target="https://base.garant.ru/74891586/" TargetMode="External"/><Relationship Id="rId48" Type="http://schemas.openxmlformats.org/officeDocument/2006/relationships/hyperlink" Target="http://www.aero.garant.ru/internet/?utm_source=base&amp;utm_medium=pop-up&amp;utm_content=find-a-solution-230-144&amp;utm_campaign=lead-from-dri" TargetMode="External"/><Relationship Id="rId8" Type="http://schemas.openxmlformats.org/officeDocument/2006/relationships/hyperlink" Target="https://base.garant.ru/404904669/53f89421bbdaf741eb2d1ecc4ddb4c33/" TargetMode="External"/><Relationship Id="rId51" Type="http://schemas.openxmlformats.org/officeDocument/2006/relationships/hyperlink" Target="http://www.liveinternet.ru/click;garant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5936</Words>
  <Characters>33839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ПУ-84</Company>
  <LinksUpToDate>false</LinksUpToDate>
  <CharactersWithSpaces>39696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cp:lastPrinted>2022-07-09T12:38:00Z</cp:lastPrinted>
  <dcterms:created xsi:type="dcterms:W3CDTF">2022-07-09T16:24:00Z</dcterms:created>
  <dcterms:modified xsi:type="dcterms:W3CDTF">2022-07-09T16:24:00Z</dcterms:modified>
</cp:coreProperties>
</file>